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ED109" w14:textId="77777777" w:rsidR="00F6614F" w:rsidRDefault="00842895" w:rsidP="00F6614F">
      <w:pPr>
        <w:spacing w:after="0"/>
        <w:contextualSpacing/>
        <w:rPr>
          <w:sz w:val="2"/>
        </w:rPr>
      </w:pPr>
      <w:r>
        <w:rPr>
          <w:sz w:val="2"/>
        </w:rPr>
        <w:t xml:space="preserve"> </w:t>
      </w:r>
    </w:p>
    <w:p w14:paraId="01260464" w14:textId="77777777" w:rsidR="00B73AD7" w:rsidRPr="00B73AD7" w:rsidRDefault="00B73AD7" w:rsidP="00946273">
      <w:pPr>
        <w:pStyle w:val="ItemNo"/>
        <w:ind w:left="8647" w:hanging="283"/>
        <w:rPr>
          <w:b w:val="0"/>
          <w:sz w:val="20"/>
          <w:szCs w:val="24"/>
        </w:rPr>
      </w:pPr>
      <w:r w:rsidRPr="00B73AD7">
        <w:rPr>
          <w:b w:val="0"/>
          <w:sz w:val="20"/>
          <w:szCs w:val="24"/>
        </w:rPr>
        <w:t xml:space="preserve">Item No: </w:t>
      </w:r>
    </w:p>
    <w:p w14:paraId="2A8313B2" w14:textId="77777777" w:rsidR="00B73AD7" w:rsidRPr="00B73AD7" w:rsidRDefault="00AD46C2" w:rsidP="00946273">
      <w:pPr>
        <w:pStyle w:val="ItemNo"/>
        <w:ind w:left="8505" w:hanging="141"/>
      </w:pPr>
      <w:sdt>
        <w:sdtPr>
          <w:alias w:val="ItemNo"/>
          <w:tag w:val="ItemNo"/>
          <w:id w:val="630294829"/>
          <w:placeholder>
            <w:docPart w:val="C0366B679DFB4D69B613476E43C82B23"/>
          </w:placeholder>
          <w:text/>
        </w:sdtPr>
        <w:sdtEndPr/>
        <w:sdtContent>
          <w:r w:rsidR="00B73AD7" w:rsidRPr="00B73AD7">
            <w:t>0</w:t>
          </w:r>
        </w:sdtContent>
      </w:sdt>
    </w:p>
    <w:p w14:paraId="01976351" w14:textId="2B4B085C" w:rsidR="008C21BC" w:rsidRPr="006F168B" w:rsidRDefault="006F168B" w:rsidP="006F168B">
      <w:pPr>
        <w:pStyle w:val="FieldHeadings"/>
      </w:pPr>
      <w:r>
        <w:t>Committee</w:t>
      </w:r>
      <w:r w:rsidR="008C21BC" w:rsidRPr="008C21BC">
        <w:t xml:space="preserve">: </w:t>
      </w:r>
      <w:r w:rsidR="008C21BC" w:rsidRPr="008C21BC">
        <w:tab/>
      </w:r>
      <w:r w:rsidR="004D0839" w:rsidRPr="00F73936">
        <w:rPr>
          <w:b w:val="0"/>
        </w:rPr>
        <w:t>Audit</w:t>
      </w:r>
      <w:r w:rsidR="004D0839" w:rsidRPr="004D0839">
        <w:rPr>
          <w:b w:val="0"/>
        </w:rPr>
        <w:t xml:space="preserve"> and Governance</w:t>
      </w:r>
    </w:p>
    <w:p w14:paraId="27C9DCA0" w14:textId="7AFA73DC" w:rsidR="008C21BC" w:rsidRPr="004D0839" w:rsidRDefault="008C21BC" w:rsidP="00BA476D">
      <w:pPr>
        <w:pStyle w:val="FieldHeadings"/>
      </w:pPr>
      <w:r w:rsidRPr="008C21BC">
        <w:t>Date</w:t>
      </w:r>
      <w:r w:rsidR="00D808DB">
        <w:t xml:space="preserve"> of Meeting</w:t>
      </w:r>
      <w:r w:rsidRPr="008C21BC">
        <w:t>:</w:t>
      </w:r>
      <w:r w:rsidRPr="008C21BC">
        <w:tab/>
      </w:r>
      <w:r w:rsidR="004D5F97">
        <w:rPr>
          <w:b w:val="0"/>
        </w:rPr>
        <w:t>18</w:t>
      </w:r>
      <w:r w:rsidR="00D2409F">
        <w:rPr>
          <w:b w:val="0"/>
        </w:rPr>
        <w:t xml:space="preserve"> </w:t>
      </w:r>
      <w:r w:rsidR="004D5F97">
        <w:rPr>
          <w:b w:val="0"/>
        </w:rPr>
        <w:t>March 2024</w:t>
      </w:r>
    </w:p>
    <w:p w14:paraId="0621BF2F" w14:textId="77777777" w:rsidR="008C21BC" w:rsidRPr="004D0839" w:rsidRDefault="006F168B" w:rsidP="00BA476D">
      <w:pPr>
        <w:pStyle w:val="FieldHeadings"/>
        <w:rPr>
          <w:rStyle w:val="FieldHeadingsField"/>
        </w:rPr>
      </w:pPr>
      <w:r w:rsidRPr="0008634A">
        <w:t>Subject:</w:t>
      </w:r>
      <w:r w:rsidRPr="0008634A">
        <w:tab/>
      </w:r>
      <w:sdt>
        <w:sdtPr>
          <w:rPr>
            <w:rStyle w:val="FieldHeadingsField"/>
          </w:rPr>
          <w:alias w:val="Subject"/>
          <w:tag w:val="Subject"/>
          <w:id w:val="-228463482"/>
          <w:placeholder>
            <w:docPart w:val="3B50AC6B8C6C42FB9AA410A0EF3C9383"/>
          </w:placeholder>
          <w:text/>
        </w:sdtPr>
        <w:sdtEndPr>
          <w:rPr>
            <w:rStyle w:val="FieldHeadingsField"/>
          </w:rPr>
        </w:sdtEndPr>
        <w:sdtContent>
          <w:r w:rsidR="00F54BDD">
            <w:rPr>
              <w:rStyle w:val="FieldHeadingsField"/>
            </w:rPr>
            <w:t>Corporate Risks Update</w:t>
          </w:r>
        </w:sdtContent>
      </w:sdt>
    </w:p>
    <w:p w14:paraId="57B01543" w14:textId="77777777" w:rsidR="00046407" w:rsidRPr="008C21BC" w:rsidRDefault="008C21BC" w:rsidP="00BA476D">
      <w:pPr>
        <w:pStyle w:val="FieldHeadings"/>
      </w:pPr>
      <w:r w:rsidRPr="008C21BC">
        <w:t>Report Author:</w:t>
      </w:r>
      <w:r w:rsidRPr="008C21BC">
        <w:tab/>
      </w:r>
      <w:sdt>
        <w:sdtPr>
          <w:rPr>
            <w:rStyle w:val="FieldHeadingsField"/>
          </w:rPr>
          <w:alias w:val="Report Author"/>
          <w:tag w:val="Report Author"/>
          <w:id w:val="-183820415"/>
          <w:placeholder>
            <w:docPart w:val="1A2378EAA72E4A3AA544D4AA144F100A"/>
          </w:placeholder>
          <w:text/>
        </w:sdtPr>
        <w:sdtEndPr>
          <w:rPr>
            <w:rStyle w:val="DefaultParagraphFont"/>
            <w:b/>
          </w:rPr>
        </w:sdtEndPr>
        <w:sdtContent>
          <w:r w:rsidR="00F54BDD">
            <w:rPr>
              <w:rStyle w:val="FieldHeadingsField"/>
            </w:rPr>
            <w:t>Audit Manager</w:t>
          </w:r>
        </w:sdtContent>
      </w:sdt>
    </w:p>
    <w:p w14:paraId="192C851B" w14:textId="77777777" w:rsidR="0056348F" w:rsidRPr="0008634A" w:rsidRDefault="006F168B" w:rsidP="00BA476D">
      <w:pPr>
        <w:pStyle w:val="FieldHeadings"/>
      </w:pPr>
      <w:r>
        <w:t>Contact Officer:</w:t>
      </w:r>
      <w:r>
        <w:tab/>
      </w:r>
      <w:sdt>
        <w:sdtPr>
          <w:rPr>
            <w:rStyle w:val="FieldHeadingsField"/>
          </w:rPr>
          <w:alias w:val="Contact Officer"/>
          <w:tag w:val="Contact Officer"/>
          <w:id w:val="1937638059"/>
          <w:placeholder>
            <w:docPart w:val="45032A72C15C4A218CDCADBFBE824594"/>
          </w:placeholder>
          <w:text/>
        </w:sdtPr>
        <w:sdtEndPr>
          <w:rPr>
            <w:rStyle w:val="DefaultParagraphFont"/>
            <w:b/>
          </w:rPr>
        </w:sdtEndPr>
        <w:sdtContent>
          <w:r w:rsidR="004D0839">
            <w:rPr>
              <w:rStyle w:val="FieldHeadingsField"/>
            </w:rPr>
            <w:t>Kanchan Vasisht</w:t>
          </w:r>
        </w:sdtContent>
      </w:sdt>
    </w:p>
    <w:p w14:paraId="5BFB2783" w14:textId="469DC479" w:rsidR="00457FAC" w:rsidRPr="00BA476D" w:rsidRDefault="00846384" w:rsidP="009E56A5">
      <w:pPr>
        <w:pStyle w:val="FieldHeadings"/>
        <w:pBdr>
          <w:between w:val="none" w:sz="0" w:space="0" w:color="auto"/>
        </w:pBdr>
        <w:rPr>
          <w:rStyle w:val="FieldHeadingsField"/>
        </w:rPr>
      </w:pPr>
      <w:r>
        <w:t>Implications</w:t>
      </w:r>
      <w:r w:rsidR="0008634A" w:rsidRPr="0008634A">
        <w:t>:</w:t>
      </w:r>
      <w:r w:rsidR="0008634A" w:rsidRPr="0008634A">
        <w:tab/>
      </w:r>
      <w:r w:rsidR="007C0105">
        <w:rPr>
          <w:rStyle w:val="FieldHeadingsField"/>
        </w:rPr>
        <w:t>Legal</w:t>
      </w:r>
      <w:r w:rsidR="00457FAC" w:rsidRPr="00BA476D">
        <w:rPr>
          <w:rStyle w:val="FieldHeadingsField"/>
        </w:rPr>
        <w:tab/>
      </w:r>
      <w:sdt>
        <w:sdtPr>
          <w:rPr>
            <w:rStyle w:val="FieldHeadingsField"/>
          </w:rPr>
          <w:alias w:val="Legal"/>
          <w:tag w:val="Legal"/>
          <w:id w:val="1462311144"/>
          <w14:checkbox>
            <w14:checked w14:val="1"/>
            <w14:checkedState w14:val="00FE" w14:font="Wingdings"/>
            <w14:uncheckedState w14:val="2610" w14:font="MS Gothic"/>
          </w14:checkbox>
        </w:sdtPr>
        <w:sdtEndPr>
          <w:rPr>
            <w:rStyle w:val="FieldHeadingsField"/>
          </w:rPr>
        </w:sdtEndPr>
        <w:sdtContent>
          <w:r w:rsidR="00B81C52">
            <w:rPr>
              <w:rStyle w:val="FieldHeadingsField"/>
            </w:rPr>
            <w:sym w:font="Wingdings" w:char="F0FE"/>
          </w:r>
        </w:sdtContent>
      </w:sdt>
      <w:r w:rsidR="007C0105">
        <w:rPr>
          <w:rStyle w:val="FieldHeadingsField"/>
        </w:rPr>
        <w:tab/>
        <w:t>Community Safety</w:t>
      </w:r>
      <w:r w:rsidR="00BE1612">
        <w:rPr>
          <w:rStyle w:val="FieldHeadingsField"/>
        </w:rPr>
        <w:tab/>
      </w:r>
      <w:sdt>
        <w:sdtPr>
          <w:rPr>
            <w:rStyle w:val="FieldHeadingsField"/>
          </w:rPr>
          <w:alias w:val="Community Safety"/>
          <w:tag w:val="Community Safety"/>
          <w:id w:val="568471953"/>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4D27AA1A" w14:textId="77777777" w:rsidR="00457FAC" w:rsidRPr="00BA476D" w:rsidRDefault="00E27416" w:rsidP="009E56A5">
      <w:pPr>
        <w:pStyle w:val="FieldHeadings"/>
        <w:pBdr>
          <w:between w:val="none" w:sz="0" w:space="0" w:color="auto"/>
        </w:pBdr>
        <w:rPr>
          <w:rStyle w:val="FieldHeadingsField"/>
        </w:rPr>
      </w:pPr>
      <w:r w:rsidRPr="00BA476D">
        <w:rPr>
          <w:rStyle w:val="FieldHeadingsField"/>
        </w:rPr>
        <w:tab/>
      </w:r>
      <w:r w:rsidR="007C0105">
        <w:rPr>
          <w:rStyle w:val="FieldHeadingsField"/>
        </w:rPr>
        <w:t>Equalities</w:t>
      </w:r>
      <w:r w:rsidR="00457FAC" w:rsidRPr="00BA476D">
        <w:rPr>
          <w:rStyle w:val="FieldHeadingsField"/>
        </w:rPr>
        <w:tab/>
      </w:r>
      <w:sdt>
        <w:sdtPr>
          <w:rPr>
            <w:rStyle w:val="FieldHeadingsField"/>
          </w:rPr>
          <w:alias w:val="Equalities"/>
          <w:tag w:val="Equalities"/>
          <w:id w:val="1931536027"/>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Environment</w:t>
      </w:r>
      <w:r w:rsidR="00BE1612">
        <w:rPr>
          <w:rStyle w:val="FieldHeadingsField"/>
        </w:rPr>
        <w:tab/>
      </w:r>
      <w:sdt>
        <w:sdtPr>
          <w:rPr>
            <w:rStyle w:val="FieldHeadingsField"/>
          </w:rPr>
          <w:alias w:val="Environment"/>
          <w:tag w:val="Environment"/>
          <w:id w:val="-916399441"/>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05B5754D" w14:textId="77777777" w:rsidR="00457FAC" w:rsidRPr="00BA476D" w:rsidRDefault="00E27416" w:rsidP="009E56A5">
      <w:pPr>
        <w:pStyle w:val="FieldHeadings"/>
        <w:pBdr>
          <w:between w:val="none" w:sz="0" w:space="0" w:color="auto"/>
        </w:pBdr>
        <w:rPr>
          <w:rStyle w:val="FieldHeadingsField"/>
        </w:rPr>
      </w:pPr>
      <w:r w:rsidRPr="00BA476D">
        <w:rPr>
          <w:rStyle w:val="FieldHeadingsField"/>
        </w:rPr>
        <w:tab/>
      </w:r>
      <w:r w:rsidR="007C0105">
        <w:rPr>
          <w:rStyle w:val="FieldHeadingsField"/>
        </w:rPr>
        <w:t>Financial</w:t>
      </w:r>
      <w:r w:rsidR="00457FAC" w:rsidRPr="00BA476D">
        <w:rPr>
          <w:rStyle w:val="FieldHeadingsField"/>
        </w:rPr>
        <w:tab/>
      </w:r>
      <w:sdt>
        <w:sdtPr>
          <w:rPr>
            <w:rStyle w:val="FieldHeadingsField"/>
          </w:rPr>
          <w:alias w:val="Financial"/>
          <w:tag w:val="Financial"/>
          <w:id w:val="985902076"/>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Consultations</w:t>
      </w:r>
      <w:r w:rsidR="00BE1612">
        <w:rPr>
          <w:rStyle w:val="FieldHeadingsField"/>
        </w:rPr>
        <w:tab/>
      </w:r>
      <w:sdt>
        <w:sdtPr>
          <w:rPr>
            <w:rStyle w:val="FieldHeadingsField"/>
          </w:rPr>
          <w:alias w:val="Consultations"/>
          <w:tag w:val="Consultations"/>
          <w:id w:val="-929736239"/>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1D61B3E3" w14:textId="77777777" w:rsidR="00B86CF5" w:rsidRPr="00BA476D" w:rsidRDefault="00E27416" w:rsidP="00CA4F0E">
      <w:pPr>
        <w:pStyle w:val="FieldHeadings"/>
        <w:rPr>
          <w:rStyle w:val="FieldHeadingsField"/>
        </w:rPr>
      </w:pPr>
      <w:r w:rsidRPr="00BA476D">
        <w:rPr>
          <w:rStyle w:val="FieldHeadingsField"/>
        </w:rPr>
        <w:tab/>
      </w:r>
      <w:r w:rsidR="007C0105">
        <w:rPr>
          <w:rStyle w:val="FieldHeadingsField"/>
        </w:rPr>
        <w:t>Staffing</w:t>
      </w:r>
      <w:r w:rsidR="00457FAC" w:rsidRPr="00BA476D">
        <w:rPr>
          <w:rStyle w:val="FieldHeadingsField"/>
        </w:rPr>
        <w:tab/>
      </w:r>
      <w:sdt>
        <w:sdtPr>
          <w:rPr>
            <w:rStyle w:val="FieldHeadingsField"/>
          </w:rPr>
          <w:alias w:val="Staffing"/>
          <w:tag w:val="Staffing"/>
          <w:id w:val="1483191579"/>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Other</w:t>
      </w:r>
      <w:r w:rsidR="00BE1612">
        <w:rPr>
          <w:rStyle w:val="FieldHeadingsField"/>
        </w:rPr>
        <w:tab/>
      </w:r>
      <w:sdt>
        <w:sdtPr>
          <w:rPr>
            <w:rStyle w:val="FieldHeadingsField"/>
          </w:rPr>
          <w:alias w:val="Other"/>
          <w:tag w:val="Other"/>
          <w:id w:val="77342194"/>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483EC5AF" w14:textId="77777777" w:rsidR="00CA4F0E" w:rsidRPr="00BA476D" w:rsidRDefault="00CA4F0E" w:rsidP="00846384">
      <w:pPr>
        <w:pStyle w:val="FieldHeadings"/>
        <w:rPr>
          <w:rStyle w:val="FieldHeadingsField"/>
        </w:rPr>
      </w:pPr>
      <w:r w:rsidRPr="00CA4F0E">
        <w:t>Wards Affected:</w:t>
      </w:r>
      <w:r w:rsidRPr="0008634A">
        <w:tab/>
      </w:r>
      <w:sdt>
        <w:sdtPr>
          <w:rPr>
            <w:rStyle w:val="FieldHeadingsField"/>
          </w:rPr>
          <w:alias w:val="Wards Affected"/>
          <w:tag w:val="Wards Affected"/>
          <w:id w:val="-1413231167"/>
          <w:placeholder>
            <w:docPart w:val="E7D235B2F2E349E1A36C8A7DBCA6C68E"/>
          </w:placeholder>
          <w:text/>
        </w:sdtPr>
        <w:sdtEndPr>
          <w:rPr>
            <w:rStyle w:val="FieldHeadingsField"/>
          </w:rPr>
        </w:sdtEndPr>
        <w:sdtContent>
          <w:r w:rsidR="004D0839">
            <w:rPr>
              <w:rStyle w:val="FieldHeadingsField"/>
            </w:rPr>
            <w:t>None</w:t>
          </w:r>
        </w:sdtContent>
      </w:sdt>
    </w:p>
    <w:p w14:paraId="2B32A996" w14:textId="77777777" w:rsidR="00946273" w:rsidRDefault="00946273" w:rsidP="009A7746">
      <w:pPr>
        <w:spacing w:after="0"/>
        <w:jc w:val="both"/>
        <w:rPr>
          <w:rFonts w:cs="Arial"/>
          <w:b/>
          <w:szCs w:val="24"/>
          <w:u w:val="single"/>
        </w:rPr>
      </w:pPr>
    </w:p>
    <w:p w14:paraId="51A09F41" w14:textId="77777777" w:rsidR="00946273" w:rsidRPr="00946273" w:rsidRDefault="00940629" w:rsidP="009A7746">
      <w:pPr>
        <w:spacing w:after="0"/>
        <w:jc w:val="both"/>
        <w:rPr>
          <w:rFonts w:cs="Arial"/>
          <w:b/>
          <w:szCs w:val="24"/>
        </w:rPr>
      </w:pPr>
      <w:r>
        <w:rPr>
          <w:rFonts w:cs="Arial"/>
          <w:b/>
          <w:szCs w:val="24"/>
        </w:rPr>
        <w:t>Purpose</w:t>
      </w:r>
    </w:p>
    <w:p w14:paraId="1A0A708F" w14:textId="77777777" w:rsidR="00946273" w:rsidRPr="00946273" w:rsidRDefault="00946273" w:rsidP="009A7746">
      <w:pPr>
        <w:spacing w:after="0"/>
        <w:jc w:val="both"/>
        <w:rPr>
          <w:rFonts w:cs="Arial"/>
          <w:szCs w:val="24"/>
        </w:rPr>
      </w:pPr>
    </w:p>
    <w:p w14:paraId="1D8CDFAA" w14:textId="77777777" w:rsidR="00981ABB" w:rsidRPr="00981ABB" w:rsidRDefault="00981ABB" w:rsidP="009A7746">
      <w:pPr>
        <w:numPr>
          <w:ilvl w:val="0"/>
          <w:numId w:val="2"/>
        </w:numPr>
        <w:spacing w:after="0"/>
        <w:ind w:left="709" w:hanging="709"/>
        <w:jc w:val="both"/>
        <w:rPr>
          <w:rFonts w:cs="Arial"/>
          <w:szCs w:val="24"/>
        </w:rPr>
      </w:pPr>
      <w:r w:rsidRPr="00981ABB">
        <w:rPr>
          <w:rFonts w:cs="Arial"/>
          <w:szCs w:val="24"/>
        </w:rPr>
        <w:t xml:space="preserve">To provide an update on the </w:t>
      </w:r>
      <w:r w:rsidR="00566739" w:rsidRPr="00981ABB">
        <w:rPr>
          <w:rFonts w:cs="Arial"/>
          <w:szCs w:val="24"/>
        </w:rPr>
        <w:t>authority’s corporate risks</w:t>
      </w:r>
      <w:r w:rsidR="00566739">
        <w:rPr>
          <w:rFonts w:cs="Arial"/>
          <w:szCs w:val="24"/>
        </w:rPr>
        <w:t xml:space="preserve"> and the risk management work being undertaken.</w:t>
      </w:r>
    </w:p>
    <w:p w14:paraId="406D3BB3" w14:textId="77777777" w:rsidR="00946273" w:rsidRPr="00946273" w:rsidRDefault="00946273" w:rsidP="009A7746">
      <w:pPr>
        <w:spacing w:after="0"/>
        <w:ind w:left="360"/>
        <w:jc w:val="both"/>
        <w:rPr>
          <w:rFonts w:cs="Arial"/>
          <w:szCs w:val="24"/>
        </w:rPr>
      </w:pPr>
    </w:p>
    <w:p w14:paraId="39980BAF" w14:textId="7CE88AE0" w:rsidR="002A02AF" w:rsidRPr="00B45DAC" w:rsidRDefault="00104671" w:rsidP="009A7746">
      <w:pPr>
        <w:spacing w:after="0"/>
        <w:jc w:val="both"/>
        <w:rPr>
          <w:rFonts w:cs="Arial"/>
          <w:b/>
          <w:szCs w:val="24"/>
        </w:rPr>
      </w:pPr>
      <w:r>
        <w:rPr>
          <w:rFonts w:cs="Arial"/>
          <w:b/>
          <w:szCs w:val="24"/>
        </w:rPr>
        <w:t>Recommendation</w:t>
      </w:r>
      <w:r w:rsidR="004D5F97">
        <w:rPr>
          <w:rFonts w:cs="Arial"/>
          <w:b/>
          <w:szCs w:val="24"/>
        </w:rPr>
        <w:t>s</w:t>
      </w:r>
    </w:p>
    <w:p w14:paraId="19050142" w14:textId="77777777" w:rsidR="00D95514" w:rsidRPr="00102D5B" w:rsidRDefault="00D95514" w:rsidP="00D95514">
      <w:pPr>
        <w:pStyle w:val="ListParagraph"/>
        <w:spacing w:after="0"/>
        <w:ind w:left="1134"/>
        <w:jc w:val="both"/>
        <w:rPr>
          <w:rFonts w:cs="Arial"/>
          <w:b/>
          <w:szCs w:val="24"/>
        </w:rPr>
      </w:pPr>
    </w:p>
    <w:p w14:paraId="7BC3A93C" w14:textId="0501BC28" w:rsidR="00996625" w:rsidRDefault="00D84001" w:rsidP="00695AF9">
      <w:pPr>
        <w:pStyle w:val="ListParagraph"/>
        <w:numPr>
          <w:ilvl w:val="0"/>
          <w:numId w:val="2"/>
        </w:numPr>
        <w:spacing w:after="0"/>
        <w:ind w:left="709" w:hanging="709"/>
        <w:jc w:val="both"/>
        <w:rPr>
          <w:rFonts w:cs="Arial"/>
          <w:b/>
          <w:szCs w:val="24"/>
        </w:rPr>
      </w:pPr>
      <w:r>
        <w:rPr>
          <w:rFonts w:cs="Arial"/>
          <w:b/>
          <w:szCs w:val="24"/>
        </w:rPr>
        <w:t>T</w:t>
      </w:r>
      <w:r w:rsidR="004D5F97">
        <w:rPr>
          <w:rFonts w:cs="Arial"/>
          <w:b/>
          <w:szCs w:val="24"/>
        </w:rPr>
        <w:t xml:space="preserve">he </w:t>
      </w:r>
      <w:r w:rsidR="00C81204" w:rsidRPr="00A47449">
        <w:rPr>
          <w:rFonts w:cs="Arial"/>
          <w:b/>
          <w:szCs w:val="24"/>
        </w:rPr>
        <w:t xml:space="preserve">Committee </w:t>
      </w:r>
      <w:r>
        <w:rPr>
          <w:rFonts w:cs="Arial"/>
          <w:b/>
          <w:szCs w:val="24"/>
        </w:rPr>
        <w:t xml:space="preserve">is </w:t>
      </w:r>
      <w:r w:rsidR="00C81204" w:rsidRPr="00A47449">
        <w:rPr>
          <w:rFonts w:cs="Arial"/>
          <w:b/>
          <w:szCs w:val="24"/>
        </w:rPr>
        <w:t>recommended to</w:t>
      </w:r>
      <w:r w:rsidR="004D5F97">
        <w:rPr>
          <w:rFonts w:cs="Arial"/>
          <w:b/>
          <w:szCs w:val="24"/>
        </w:rPr>
        <w:t>:</w:t>
      </w:r>
    </w:p>
    <w:p w14:paraId="693A5BE9" w14:textId="41EE454A" w:rsidR="004D5F97" w:rsidRDefault="004D5F97" w:rsidP="004D5F97">
      <w:pPr>
        <w:pStyle w:val="ListParagraph"/>
        <w:numPr>
          <w:ilvl w:val="0"/>
          <w:numId w:val="3"/>
        </w:numPr>
        <w:spacing w:after="0"/>
        <w:jc w:val="both"/>
        <w:rPr>
          <w:rFonts w:cs="Arial"/>
          <w:b/>
          <w:szCs w:val="24"/>
        </w:rPr>
      </w:pPr>
      <w:r>
        <w:rPr>
          <w:rFonts w:cs="Arial"/>
          <w:b/>
          <w:szCs w:val="24"/>
        </w:rPr>
        <w:t xml:space="preserve">Consider the findings from the World Economic Forum on </w:t>
      </w:r>
      <w:r w:rsidR="00F0645F">
        <w:rPr>
          <w:rFonts w:cs="Arial"/>
          <w:b/>
          <w:szCs w:val="24"/>
        </w:rPr>
        <w:t xml:space="preserve">current and emerging </w:t>
      </w:r>
      <w:r w:rsidR="0096316C">
        <w:rPr>
          <w:rFonts w:cs="Arial"/>
          <w:b/>
          <w:szCs w:val="24"/>
        </w:rPr>
        <w:t>global risks</w:t>
      </w:r>
      <w:r w:rsidR="00E426C8" w:rsidRPr="00E426C8">
        <w:rPr>
          <w:rFonts w:cs="Arial"/>
          <w:b/>
          <w:szCs w:val="24"/>
        </w:rPr>
        <w:t>; and how these align with the risks currently reported within the Corporate Risk Register.</w:t>
      </w:r>
    </w:p>
    <w:p w14:paraId="497F1E42" w14:textId="5E781D34" w:rsidR="004D5F97" w:rsidRDefault="004D5F97" w:rsidP="004D5F97">
      <w:pPr>
        <w:pStyle w:val="ListParagraph"/>
        <w:numPr>
          <w:ilvl w:val="0"/>
          <w:numId w:val="3"/>
        </w:numPr>
        <w:spacing w:after="0"/>
        <w:jc w:val="both"/>
        <w:rPr>
          <w:rFonts w:cs="Arial"/>
          <w:b/>
          <w:szCs w:val="24"/>
        </w:rPr>
      </w:pPr>
      <w:r>
        <w:rPr>
          <w:rFonts w:cs="Arial"/>
          <w:b/>
          <w:szCs w:val="24"/>
        </w:rPr>
        <w:t xml:space="preserve">Review the council’s risk appetite statement to ensure it </w:t>
      </w:r>
      <w:r w:rsidR="00F0645F">
        <w:rPr>
          <w:rFonts w:cs="Arial"/>
          <w:b/>
          <w:szCs w:val="24"/>
        </w:rPr>
        <w:t xml:space="preserve">remains </w:t>
      </w:r>
      <w:r>
        <w:rPr>
          <w:rFonts w:cs="Arial"/>
          <w:b/>
          <w:szCs w:val="24"/>
        </w:rPr>
        <w:t>current.</w:t>
      </w:r>
    </w:p>
    <w:p w14:paraId="0A7D1DAF" w14:textId="77777777" w:rsidR="004D5F97" w:rsidRDefault="004D5F97" w:rsidP="004D5F97">
      <w:pPr>
        <w:pStyle w:val="ListParagraph"/>
        <w:numPr>
          <w:ilvl w:val="0"/>
          <w:numId w:val="3"/>
        </w:numPr>
        <w:spacing w:after="0"/>
        <w:jc w:val="both"/>
        <w:rPr>
          <w:rFonts w:cs="Arial"/>
          <w:b/>
          <w:szCs w:val="24"/>
        </w:rPr>
      </w:pPr>
      <w:r w:rsidRPr="00996625">
        <w:rPr>
          <w:rFonts w:cs="Arial"/>
          <w:b/>
          <w:szCs w:val="24"/>
        </w:rPr>
        <w:t>Review the updated Corporate Risk Register.</w:t>
      </w:r>
    </w:p>
    <w:p w14:paraId="1C4055BD" w14:textId="77777777" w:rsidR="00996625" w:rsidRPr="00996625" w:rsidRDefault="00996625" w:rsidP="00996625">
      <w:pPr>
        <w:pStyle w:val="ListParagraph"/>
        <w:spacing w:after="0"/>
        <w:ind w:left="1407"/>
        <w:rPr>
          <w:rFonts w:cs="Arial"/>
          <w:b/>
          <w:szCs w:val="24"/>
        </w:rPr>
      </w:pPr>
    </w:p>
    <w:p w14:paraId="6B25FFB6" w14:textId="77777777" w:rsidR="00526B17" w:rsidRPr="00946273" w:rsidRDefault="00526B17" w:rsidP="00526B17">
      <w:pPr>
        <w:spacing w:after="0"/>
        <w:jc w:val="both"/>
        <w:rPr>
          <w:rFonts w:cs="Arial"/>
          <w:b/>
          <w:szCs w:val="24"/>
        </w:rPr>
      </w:pPr>
      <w:r>
        <w:rPr>
          <w:rFonts w:cs="Arial"/>
          <w:b/>
          <w:szCs w:val="24"/>
        </w:rPr>
        <w:t>Background</w:t>
      </w:r>
    </w:p>
    <w:p w14:paraId="2BCFD0F8" w14:textId="77777777" w:rsidR="00526B17" w:rsidRPr="00526B17" w:rsidRDefault="00526B17" w:rsidP="00526B17">
      <w:pPr>
        <w:spacing w:after="0"/>
        <w:jc w:val="both"/>
        <w:rPr>
          <w:rFonts w:cs="Arial"/>
          <w:b/>
          <w:szCs w:val="24"/>
        </w:rPr>
      </w:pPr>
    </w:p>
    <w:p w14:paraId="5E908AA4" w14:textId="77777777" w:rsidR="00981ABB" w:rsidRPr="000A1037" w:rsidRDefault="00981ABB" w:rsidP="009A7746">
      <w:pPr>
        <w:pStyle w:val="ListParagraph"/>
        <w:numPr>
          <w:ilvl w:val="0"/>
          <w:numId w:val="2"/>
        </w:numPr>
        <w:overflowPunct/>
        <w:autoSpaceDE/>
        <w:autoSpaceDN/>
        <w:adjustRightInd/>
        <w:spacing w:after="0"/>
        <w:ind w:left="709" w:hanging="709"/>
        <w:jc w:val="both"/>
        <w:textAlignment w:val="auto"/>
        <w:rPr>
          <w:rFonts w:cs="Arial"/>
          <w:szCs w:val="24"/>
        </w:rPr>
      </w:pPr>
      <w:r w:rsidRPr="000A1037">
        <w:rPr>
          <w:rFonts w:cs="Arial"/>
          <w:szCs w:val="24"/>
        </w:rPr>
        <w:t xml:space="preserve">This report provides </w:t>
      </w:r>
      <w:r w:rsidR="001D736A" w:rsidRPr="000A1037">
        <w:rPr>
          <w:rFonts w:cs="Arial"/>
          <w:szCs w:val="24"/>
        </w:rPr>
        <w:t>an</w:t>
      </w:r>
      <w:r w:rsidRPr="000A1037">
        <w:rPr>
          <w:rFonts w:cs="Arial"/>
          <w:szCs w:val="24"/>
        </w:rPr>
        <w:t xml:space="preserve"> update of the authority’s corporate risks, to assist </w:t>
      </w:r>
      <w:r w:rsidR="000754E8" w:rsidRPr="000A1037">
        <w:rPr>
          <w:rFonts w:cs="Arial"/>
          <w:szCs w:val="24"/>
        </w:rPr>
        <w:t xml:space="preserve">the committee </w:t>
      </w:r>
      <w:r w:rsidR="00622EE2" w:rsidRPr="000A1037">
        <w:rPr>
          <w:rFonts w:cs="Arial"/>
          <w:szCs w:val="24"/>
        </w:rPr>
        <w:t xml:space="preserve">in </w:t>
      </w:r>
      <w:r w:rsidRPr="000A1037">
        <w:rPr>
          <w:rFonts w:cs="Arial"/>
          <w:szCs w:val="24"/>
        </w:rPr>
        <w:t>fulfil</w:t>
      </w:r>
      <w:r w:rsidR="00622EE2" w:rsidRPr="000A1037">
        <w:rPr>
          <w:rFonts w:cs="Arial"/>
          <w:szCs w:val="24"/>
        </w:rPr>
        <w:t>ling</w:t>
      </w:r>
      <w:r w:rsidRPr="000A1037">
        <w:rPr>
          <w:rFonts w:cs="Arial"/>
          <w:szCs w:val="24"/>
        </w:rPr>
        <w:t xml:space="preserve"> their obligations to perio</w:t>
      </w:r>
      <w:r w:rsidR="005B0FAA">
        <w:rPr>
          <w:rFonts w:cs="Arial"/>
          <w:szCs w:val="24"/>
        </w:rPr>
        <w:t>dically review the authority’s C</w:t>
      </w:r>
      <w:r w:rsidRPr="000A1037">
        <w:rPr>
          <w:rFonts w:cs="Arial"/>
          <w:szCs w:val="24"/>
        </w:rPr>
        <w:t xml:space="preserve">orporate </w:t>
      </w:r>
      <w:r w:rsidR="005B0FAA">
        <w:rPr>
          <w:rFonts w:cs="Arial"/>
          <w:szCs w:val="24"/>
        </w:rPr>
        <w:t>Risk R</w:t>
      </w:r>
      <w:r w:rsidRPr="000A1037">
        <w:rPr>
          <w:rFonts w:cs="Arial"/>
          <w:szCs w:val="24"/>
        </w:rPr>
        <w:t xml:space="preserve">egister and to consider the effectiveness of the council’s risk management arrangements.     </w:t>
      </w:r>
    </w:p>
    <w:p w14:paraId="6A239988" w14:textId="77777777" w:rsidR="00B45DAC" w:rsidRPr="00B45DAC" w:rsidRDefault="00B45DAC" w:rsidP="009A7746">
      <w:pPr>
        <w:overflowPunct/>
        <w:autoSpaceDE/>
        <w:autoSpaceDN/>
        <w:adjustRightInd/>
        <w:spacing w:after="0"/>
        <w:ind w:left="709"/>
        <w:jc w:val="both"/>
        <w:textAlignment w:val="auto"/>
        <w:rPr>
          <w:rFonts w:cs="Arial"/>
          <w:szCs w:val="24"/>
        </w:rPr>
      </w:pPr>
    </w:p>
    <w:p w14:paraId="72C5DC15" w14:textId="77777777" w:rsidR="005B0FAA" w:rsidRDefault="00B45DAC" w:rsidP="009A7746">
      <w:pPr>
        <w:numPr>
          <w:ilvl w:val="0"/>
          <w:numId w:val="2"/>
        </w:numPr>
        <w:overflowPunct/>
        <w:autoSpaceDE/>
        <w:autoSpaceDN/>
        <w:adjustRightInd/>
        <w:spacing w:after="0"/>
        <w:ind w:left="709" w:hanging="709"/>
        <w:jc w:val="both"/>
        <w:textAlignment w:val="auto"/>
        <w:rPr>
          <w:rFonts w:cs="Arial"/>
          <w:szCs w:val="24"/>
        </w:rPr>
      </w:pPr>
      <w:r w:rsidRPr="00981ABB">
        <w:t>The council’s Risk Management Strategy provides a framework to ensure that risks and opportunities are managed effectively, which is also an essential part of good corporate governance.  The strategy is designed to strengthen, support and embed risk management across the council to ensure opportunities are maximised</w:t>
      </w:r>
      <w:r w:rsidR="008228EA">
        <w:t>;</w:t>
      </w:r>
      <w:r w:rsidRPr="00981ABB">
        <w:t xml:space="preserve"> there is effective delivery of services</w:t>
      </w:r>
      <w:r w:rsidR="008228EA">
        <w:t>;</w:t>
      </w:r>
      <w:r w:rsidRPr="00981ABB">
        <w:t xml:space="preserve"> and objectives are met</w:t>
      </w:r>
      <w:r w:rsidR="00984121">
        <w:t>, includ</w:t>
      </w:r>
      <w:r w:rsidR="00CC4BF5">
        <w:t>ing</w:t>
      </w:r>
      <w:r w:rsidR="008228EA">
        <w:t xml:space="preserve"> </w:t>
      </w:r>
      <w:r w:rsidR="00B774C7">
        <w:t xml:space="preserve">the </w:t>
      </w:r>
      <w:r w:rsidR="00984121">
        <w:t xml:space="preserve">achievement of </w:t>
      </w:r>
      <w:r w:rsidR="00CC4BF5">
        <w:t xml:space="preserve">the </w:t>
      </w:r>
      <w:r w:rsidR="00984121">
        <w:t>strategic priorities set out in the Corporate Plan to deliver the Luton 2040 vision</w:t>
      </w:r>
      <w:r w:rsidRPr="00981ABB">
        <w:t>.</w:t>
      </w:r>
      <w:r>
        <w:t xml:space="preserve">  It </w:t>
      </w:r>
      <w:r w:rsidRPr="0028729B">
        <w:t>reflects current thinking, best practice and the value of well-recognised principles for risk management. The strategy is regularly reviewed and updated in line with the council’s developing needs and requirement.</w:t>
      </w:r>
    </w:p>
    <w:p w14:paraId="2B98FE20" w14:textId="77777777" w:rsidR="005B0FAA" w:rsidRDefault="005B0FAA" w:rsidP="009A7746">
      <w:pPr>
        <w:pStyle w:val="ListParagraph"/>
        <w:spacing w:after="0"/>
        <w:rPr>
          <w:rFonts w:cs="Arial"/>
          <w:szCs w:val="24"/>
        </w:rPr>
      </w:pPr>
    </w:p>
    <w:p w14:paraId="2759EC11" w14:textId="70A24AC4" w:rsidR="00856A65" w:rsidRDefault="005B0FAA" w:rsidP="009A7746">
      <w:pPr>
        <w:numPr>
          <w:ilvl w:val="0"/>
          <w:numId w:val="2"/>
        </w:numPr>
        <w:overflowPunct/>
        <w:autoSpaceDE/>
        <w:autoSpaceDN/>
        <w:adjustRightInd/>
        <w:spacing w:after="0"/>
        <w:ind w:left="709" w:hanging="709"/>
        <w:jc w:val="both"/>
        <w:textAlignment w:val="auto"/>
        <w:rPr>
          <w:rFonts w:cs="Arial"/>
          <w:szCs w:val="24"/>
        </w:rPr>
      </w:pPr>
      <w:r>
        <w:rPr>
          <w:rFonts w:cs="Arial"/>
          <w:szCs w:val="24"/>
        </w:rPr>
        <w:lastRenderedPageBreak/>
        <w:t xml:space="preserve">All </w:t>
      </w:r>
      <w:r w:rsidRPr="005B0FAA">
        <w:rPr>
          <w:rFonts w:cs="Arial"/>
          <w:szCs w:val="24"/>
        </w:rPr>
        <w:t xml:space="preserve">risks </w:t>
      </w:r>
      <w:r w:rsidR="00856A65">
        <w:rPr>
          <w:rFonts w:cs="Arial"/>
          <w:szCs w:val="24"/>
        </w:rPr>
        <w:t xml:space="preserve">are recorded </w:t>
      </w:r>
      <w:r w:rsidRPr="005B0FAA">
        <w:rPr>
          <w:rFonts w:cs="Arial"/>
          <w:szCs w:val="24"/>
        </w:rPr>
        <w:t xml:space="preserve">on the </w:t>
      </w:r>
      <w:r w:rsidR="00856A65">
        <w:rPr>
          <w:rFonts w:cs="Arial"/>
          <w:szCs w:val="24"/>
        </w:rPr>
        <w:t xml:space="preserve">council’s risk management system, and are assigned to </w:t>
      </w:r>
      <w:r w:rsidRPr="005B0FAA">
        <w:rPr>
          <w:rFonts w:cs="Arial"/>
          <w:szCs w:val="24"/>
        </w:rPr>
        <w:t>Risk Owners</w:t>
      </w:r>
      <w:r>
        <w:rPr>
          <w:rFonts w:cs="Arial"/>
          <w:szCs w:val="24"/>
        </w:rPr>
        <w:t xml:space="preserve"> for </w:t>
      </w:r>
      <w:r w:rsidR="005A3B50">
        <w:rPr>
          <w:rFonts w:cs="Arial"/>
          <w:szCs w:val="24"/>
        </w:rPr>
        <w:t xml:space="preserve">review and </w:t>
      </w:r>
      <w:r>
        <w:rPr>
          <w:rFonts w:cs="Arial"/>
          <w:szCs w:val="24"/>
        </w:rPr>
        <w:t>monitoring</w:t>
      </w:r>
      <w:r w:rsidR="00856A65">
        <w:rPr>
          <w:rFonts w:cs="Arial"/>
          <w:szCs w:val="24"/>
        </w:rPr>
        <w:t xml:space="preserve">.  The system issues </w:t>
      </w:r>
      <w:r w:rsidR="00856A65" w:rsidRPr="005B0FAA">
        <w:rPr>
          <w:rFonts w:cs="Arial"/>
          <w:szCs w:val="24"/>
        </w:rPr>
        <w:t xml:space="preserve">automatic reminders </w:t>
      </w:r>
      <w:r w:rsidR="00CF1146">
        <w:rPr>
          <w:rFonts w:cs="Arial"/>
          <w:szCs w:val="24"/>
        </w:rPr>
        <w:t>for</w:t>
      </w:r>
      <w:r w:rsidR="007569A7">
        <w:rPr>
          <w:rFonts w:cs="Arial"/>
          <w:szCs w:val="24"/>
        </w:rPr>
        <w:t xml:space="preserve"> Risk Owners </w:t>
      </w:r>
      <w:r w:rsidR="00CB54EA">
        <w:rPr>
          <w:rFonts w:cs="Arial"/>
          <w:szCs w:val="24"/>
        </w:rPr>
        <w:t>to update their risk assessments</w:t>
      </w:r>
      <w:r w:rsidR="00856A65" w:rsidRPr="005B0FAA">
        <w:rPr>
          <w:rFonts w:cs="Arial"/>
          <w:szCs w:val="24"/>
        </w:rPr>
        <w:t xml:space="preserve"> </w:t>
      </w:r>
      <w:r w:rsidR="00110133">
        <w:rPr>
          <w:rFonts w:cs="Arial"/>
          <w:szCs w:val="24"/>
        </w:rPr>
        <w:t xml:space="preserve">and control measures </w:t>
      </w:r>
      <w:r w:rsidR="00CB54EA">
        <w:rPr>
          <w:rFonts w:cs="Arial"/>
          <w:szCs w:val="24"/>
        </w:rPr>
        <w:t xml:space="preserve">when they </w:t>
      </w:r>
      <w:r w:rsidR="00856A65" w:rsidRPr="005B0FAA">
        <w:rPr>
          <w:rFonts w:cs="Arial"/>
          <w:szCs w:val="24"/>
        </w:rPr>
        <w:t>become due for review.</w:t>
      </w:r>
      <w:r w:rsidR="00CB54EA">
        <w:rPr>
          <w:rFonts w:cs="Arial"/>
          <w:szCs w:val="24"/>
        </w:rPr>
        <w:t xml:space="preserve">  E</w:t>
      </w:r>
      <w:r w:rsidR="00B47C56">
        <w:rPr>
          <w:rFonts w:cs="Arial"/>
          <w:szCs w:val="24"/>
        </w:rPr>
        <w:t>-</w:t>
      </w:r>
      <w:r w:rsidR="00856A65" w:rsidRPr="005B0FAA">
        <w:rPr>
          <w:rFonts w:cs="Arial"/>
          <w:szCs w:val="24"/>
        </w:rPr>
        <w:t>learning training on ri</w:t>
      </w:r>
      <w:r w:rsidR="00E51C0D">
        <w:rPr>
          <w:rFonts w:cs="Arial"/>
          <w:szCs w:val="24"/>
        </w:rPr>
        <w:t>sk and how to</w:t>
      </w:r>
      <w:r w:rsidR="0077673F">
        <w:rPr>
          <w:rFonts w:cs="Arial"/>
          <w:szCs w:val="24"/>
        </w:rPr>
        <w:t xml:space="preserve"> use the system</w:t>
      </w:r>
      <w:r w:rsidR="00723571">
        <w:rPr>
          <w:rFonts w:cs="Arial"/>
          <w:szCs w:val="24"/>
        </w:rPr>
        <w:t xml:space="preserve"> is available</w:t>
      </w:r>
      <w:r w:rsidR="00C94CFD">
        <w:rPr>
          <w:rFonts w:cs="Arial"/>
          <w:szCs w:val="24"/>
        </w:rPr>
        <w:t xml:space="preserve"> to Risk Owners</w:t>
      </w:r>
      <w:r w:rsidR="0077673F">
        <w:rPr>
          <w:rFonts w:cs="Arial"/>
          <w:szCs w:val="24"/>
        </w:rPr>
        <w:t xml:space="preserve">.  </w:t>
      </w:r>
      <w:r w:rsidR="005E7EF6">
        <w:rPr>
          <w:rFonts w:cs="Arial"/>
          <w:szCs w:val="24"/>
        </w:rPr>
        <w:t>R</w:t>
      </w:r>
      <w:r w:rsidR="00856A65" w:rsidRPr="005B0FAA">
        <w:rPr>
          <w:rFonts w:cs="Arial"/>
          <w:szCs w:val="24"/>
        </w:rPr>
        <w:t xml:space="preserve">isk management training </w:t>
      </w:r>
      <w:r w:rsidR="005E7EF6">
        <w:rPr>
          <w:rFonts w:cs="Arial"/>
          <w:szCs w:val="24"/>
        </w:rPr>
        <w:t>is</w:t>
      </w:r>
      <w:r w:rsidR="00C47356">
        <w:rPr>
          <w:rFonts w:cs="Arial"/>
          <w:szCs w:val="24"/>
        </w:rPr>
        <w:t xml:space="preserve"> </w:t>
      </w:r>
      <w:r w:rsidR="00856A65" w:rsidRPr="005B0FAA">
        <w:rPr>
          <w:rFonts w:cs="Arial"/>
          <w:szCs w:val="24"/>
        </w:rPr>
        <w:t>delivered corporately to Officers and Members.</w:t>
      </w:r>
      <w:r w:rsidR="00B86716">
        <w:rPr>
          <w:rFonts w:cs="Arial"/>
          <w:szCs w:val="24"/>
        </w:rPr>
        <w:t xml:space="preserve">  New m</w:t>
      </w:r>
      <w:r w:rsidR="00C47356">
        <w:rPr>
          <w:rFonts w:cs="Arial"/>
          <w:szCs w:val="24"/>
        </w:rPr>
        <w:t>embers of staff</w:t>
      </w:r>
      <w:r w:rsidR="00C47356" w:rsidRPr="00C47356">
        <w:rPr>
          <w:rFonts w:cs="Arial"/>
          <w:szCs w:val="24"/>
        </w:rPr>
        <w:t> who have been assigned risks also receive risk management training on a one to one basis</w:t>
      </w:r>
      <w:r w:rsidR="00C47356">
        <w:rPr>
          <w:rFonts w:cs="Arial"/>
          <w:szCs w:val="24"/>
        </w:rPr>
        <w:t xml:space="preserve">. </w:t>
      </w:r>
    </w:p>
    <w:p w14:paraId="3FC204DE" w14:textId="77777777" w:rsidR="00B47C56" w:rsidRDefault="00B47C56" w:rsidP="009A7746">
      <w:pPr>
        <w:overflowPunct/>
        <w:autoSpaceDE/>
        <w:autoSpaceDN/>
        <w:adjustRightInd/>
        <w:spacing w:after="0"/>
        <w:ind w:left="709"/>
        <w:jc w:val="both"/>
        <w:textAlignment w:val="auto"/>
        <w:rPr>
          <w:rFonts w:cs="Arial"/>
          <w:szCs w:val="24"/>
        </w:rPr>
      </w:pPr>
    </w:p>
    <w:p w14:paraId="11419770" w14:textId="77777777" w:rsidR="005B0FAA" w:rsidRDefault="00856A65" w:rsidP="009A7746">
      <w:pPr>
        <w:numPr>
          <w:ilvl w:val="0"/>
          <w:numId w:val="2"/>
        </w:numPr>
        <w:overflowPunct/>
        <w:autoSpaceDE/>
        <w:autoSpaceDN/>
        <w:adjustRightInd/>
        <w:spacing w:after="0"/>
        <w:ind w:left="709" w:hanging="709"/>
        <w:jc w:val="both"/>
        <w:textAlignment w:val="auto"/>
        <w:rPr>
          <w:rFonts w:cs="Arial"/>
          <w:szCs w:val="24"/>
        </w:rPr>
      </w:pPr>
      <w:r>
        <w:rPr>
          <w:rFonts w:cs="Arial"/>
          <w:szCs w:val="24"/>
        </w:rPr>
        <w:t xml:space="preserve">Corporate risks </w:t>
      </w:r>
      <w:r w:rsidR="005B0FAA" w:rsidRPr="005B0FAA">
        <w:rPr>
          <w:rFonts w:cs="Arial"/>
          <w:szCs w:val="24"/>
        </w:rPr>
        <w:t xml:space="preserve">are reported to the Internal Governance Group, Corporate Leadership Management Team, and Audit and Governance Committee for review on a quarterly basis.  </w:t>
      </w:r>
    </w:p>
    <w:p w14:paraId="1C5B4E8D" w14:textId="77777777" w:rsidR="005B0FAA" w:rsidRDefault="005B0FAA" w:rsidP="009A7746">
      <w:pPr>
        <w:pStyle w:val="ListParagraph"/>
        <w:spacing w:after="0"/>
        <w:rPr>
          <w:rFonts w:cs="Arial"/>
          <w:szCs w:val="24"/>
        </w:rPr>
      </w:pPr>
    </w:p>
    <w:p w14:paraId="75E126CD" w14:textId="77777777" w:rsidR="00946273" w:rsidRDefault="00940629" w:rsidP="009A7746">
      <w:pPr>
        <w:spacing w:after="0"/>
        <w:jc w:val="both"/>
        <w:rPr>
          <w:rFonts w:cs="Arial"/>
          <w:b/>
          <w:szCs w:val="24"/>
        </w:rPr>
      </w:pPr>
      <w:r>
        <w:rPr>
          <w:rFonts w:cs="Arial"/>
          <w:b/>
          <w:szCs w:val="24"/>
        </w:rPr>
        <w:t>Report</w:t>
      </w:r>
    </w:p>
    <w:p w14:paraId="599A6D6C" w14:textId="13DBE7A7" w:rsidR="00981ABB" w:rsidRDefault="00981ABB" w:rsidP="009A7746">
      <w:pPr>
        <w:spacing w:after="0"/>
        <w:jc w:val="both"/>
        <w:rPr>
          <w:rFonts w:cs="Arial"/>
          <w:b/>
          <w:szCs w:val="24"/>
        </w:rPr>
      </w:pPr>
    </w:p>
    <w:p w14:paraId="7652A344" w14:textId="3671A9CE" w:rsidR="009435DF" w:rsidRDefault="009435DF" w:rsidP="009A7746">
      <w:pPr>
        <w:spacing w:after="0"/>
        <w:jc w:val="both"/>
        <w:rPr>
          <w:rFonts w:cs="Arial"/>
          <w:b/>
          <w:szCs w:val="24"/>
        </w:rPr>
      </w:pPr>
      <w:r>
        <w:rPr>
          <w:rFonts w:cs="Arial"/>
          <w:b/>
          <w:szCs w:val="24"/>
        </w:rPr>
        <w:tab/>
        <w:t>The Global Risk Report 2024</w:t>
      </w:r>
    </w:p>
    <w:p w14:paraId="6B5F30BB" w14:textId="77777777" w:rsidR="009435DF" w:rsidRDefault="009435DF" w:rsidP="009A7746">
      <w:pPr>
        <w:spacing w:after="0"/>
        <w:jc w:val="both"/>
        <w:rPr>
          <w:rFonts w:cs="Arial"/>
          <w:b/>
          <w:szCs w:val="24"/>
        </w:rPr>
      </w:pPr>
    </w:p>
    <w:p w14:paraId="2AC777DA" w14:textId="79D4E9D2" w:rsidR="000903F9" w:rsidRDefault="0096316C" w:rsidP="00CF2A49">
      <w:pPr>
        <w:pStyle w:val="ListParagraph"/>
        <w:numPr>
          <w:ilvl w:val="0"/>
          <w:numId w:val="2"/>
        </w:numPr>
        <w:ind w:left="709" w:hanging="709"/>
        <w:jc w:val="both"/>
      </w:pPr>
      <w:r>
        <w:t>In September 2023, the World Economic Forum carried out a Global Risks Perception Survey (GRPS)</w:t>
      </w:r>
      <w:r w:rsidR="00D00782">
        <w:t>,</w:t>
      </w:r>
      <w:r>
        <w:t xml:space="preserve"> which captured insights from nearly 1,500 </w:t>
      </w:r>
      <w:r w:rsidR="006B7FFB">
        <w:t>experts on global risks.  The key findings from this survey are noted in The Global Risk Report 2024</w:t>
      </w:r>
      <w:r w:rsidR="00CF2A49">
        <w:t xml:space="preserve">, which can be accessed via the following link: </w:t>
      </w:r>
      <w:hyperlink r:id="rId8" w:history="1">
        <w:r w:rsidR="00CF2A49" w:rsidRPr="003779DE">
          <w:rPr>
            <w:rStyle w:val="Hyperlink"/>
          </w:rPr>
          <w:t>https://www.weforum.org/p</w:t>
        </w:r>
        <w:r w:rsidR="00CF2A49" w:rsidRPr="003779DE">
          <w:rPr>
            <w:rStyle w:val="Hyperlink"/>
          </w:rPr>
          <w:t>u</w:t>
        </w:r>
        <w:r w:rsidR="00CF2A49" w:rsidRPr="003779DE">
          <w:rPr>
            <w:rStyle w:val="Hyperlink"/>
          </w:rPr>
          <w:t>blications/global-risks-report-2024/digest/</w:t>
        </w:r>
      </w:hyperlink>
      <w:r w:rsidR="006B7FFB">
        <w:t xml:space="preserve">.  The report </w:t>
      </w:r>
      <w:r w:rsidR="00D00782">
        <w:t xml:space="preserve">analyses </w:t>
      </w:r>
      <w:r w:rsidR="006B7FFB">
        <w:t xml:space="preserve">global risks </w:t>
      </w:r>
      <w:r w:rsidR="00D00782">
        <w:t xml:space="preserve">through </w:t>
      </w:r>
      <w:r w:rsidR="000B466D">
        <w:t xml:space="preserve">three </w:t>
      </w:r>
      <w:r w:rsidR="00D00782">
        <w:t xml:space="preserve">timeframes </w:t>
      </w:r>
      <w:r w:rsidR="006B7FFB">
        <w:t xml:space="preserve">to support decision makers </w:t>
      </w:r>
      <w:r w:rsidR="00444DAD">
        <w:t xml:space="preserve">to </w:t>
      </w:r>
      <w:r w:rsidR="006B7FFB">
        <w:t>balanc</w:t>
      </w:r>
      <w:r w:rsidR="00D00782">
        <w:t xml:space="preserve">e </w:t>
      </w:r>
      <w:r w:rsidR="006B7FFB">
        <w:t xml:space="preserve">current crises and long term priorities.  </w:t>
      </w:r>
    </w:p>
    <w:p w14:paraId="5EB30C1B" w14:textId="77777777" w:rsidR="000903F9" w:rsidRDefault="000903F9" w:rsidP="000903F9">
      <w:pPr>
        <w:pStyle w:val="ListParagraph"/>
        <w:ind w:left="709"/>
        <w:jc w:val="both"/>
      </w:pPr>
    </w:p>
    <w:p w14:paraId="4817D6B9" w14:textId="37F4D2A4" w:rsidR="00444DAD" w:rsidRDefault="00444DAD" w:rsidP="000903F9">
      <w:pPr>
        <w:pStyle w:val="ListParagraph"/>
        <w:numPr>
          <w:ilvl w:val="0"/>
          <w:numId w:val="2"/>
        </w:numPr>
        <w:ind w:left="709" w:hanging="709"/>
        <w:jc w:val="both"/>
      </w:pPr>
      <w:r>
        <w:t>The results from the survey highlight a negative outlook for the world over the next two years, which is expected to worsen over the next decade.</w:t>
      </w:r>
      <w:r w:rsidR="00FF2D2F">
        <w:t xml:space="preserve">  The extracts </w:t>
      </w:r>
      <w:r w:rsidR="000903F9">
        <w:t xml:space="preserve">from the report </w:t>
      </w:r>
      <w:r w:rsidR="00FF2D2F">
        <w:t xml:space="preserve">below </w:t>
      </w:r>
      <w:r w:rsidR="000903F9">
        <w:t xml:space="preserve">provides details on the current risk landscape (figure b); and the </w:t>
      </w:r>
      <w:r>
        <w:t xml:space="preserve">global risks ranked by severity over the short term and long term </w:t>
      </w:r>
      <w:r w:rsidR="000903F9">
        <w:t>(figure c):</w:t>
      </w:r>
    </w:p>
    <w:p w14:paraId="71040A96" w14:textId="3A03FFF6" w:rsidR="000903F9" w:rsidRDefault="000903F9" w:rsidP="00CE527E">
      <w:pPr>
        <w:jc w:val="both"/>
      </w:pPr>
    </w:p>
    <w:p w14:paraId="467F55EF" w14:textId="05CBD8CF" w:rsidR="00CE527E" w:rsidRDefault="00CE527E" w:rsidP="00390812">
      <w:pPr>
        <w:ind w:left="-1134" w:firstLine="567"/>
        <w:jc w:val="center"/>
      </w:pPr>
      <w:r w:rsidRPr="00CE527E">
        <w:rPr>
          <w:noProof/>
          <w:lang w:eastAsia="en-GB"/>
        </w:rPr>
        <w:drawing>
          <wp:inline distT="0" distB="0" distL="0" distR="0" wp14:anchorId="7849274E" wp14:editId="79C85E66">
            <wp:extent cx="6568229" cy="28257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95007" cy="2837270"/>
                    </a:xfrm>
                    <a:prstGeom prst="rect">
                      <a:avLst/>
                    </a:prstGeom>
                  </pic:spPr>
                </pic:pic>
              </a:graphicData>
            </a:graphic>
          </wp:inline>
        </w:drawing>
      </w:r>
    </w:p>
    <w:p w14:paraId="2CC778CF" w14:textId="77777777" w:rsidR="00444DAD" w:rsidRDefault="00444DAD" w:rsidP="00444DAD">
      <w:pPr>
        <w:pStyle w:val="ListParagraph"/>
      </w:pPr>
    </w:p>
    <w:p w14:paraId="3CD75AE9" w14:textId="4681728E" w:rsidR="00444DAD" w:rsidRDefault="000F5333" w:rsidP="000F5333">
      <w:pPr>
        <w:ind w:left="-709"/>
        <w:jc w:val="center"/>
      </w:pPr>
      <w:r w:rsidRPr="000F5333">
        <w:rPr>
          <w:noProof/>
          <w:lang w:eastAsia="en-GB"/>
        </w:rPr>
        <w:lastRenderedPageBreak/>
        <w:drawing>
          <wp:inline distT="0" distB="0" distL="0" distR="0" wp14:anchorId="6F1485E1" wp14:editId="62824E03">
            <wp:extent cx="6661150" cy="368550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8273" cy="3717107"/>
                    </a:xfrm>
                    <a:prstGeom prst="rect">
                      <a:avLst/>
                    </a:prstGeom>
                  </pic:spPr>
                </pic:pic>
              </a:graphicData>
            </a:graphic>
          </wp:inline>
        </w:drawing>
      </w:r>
    </w:p>
    <w:p w14:paraId="28CA5843" w14:textId="77777777" w:rsidR="000F5333" w:rsidRDefault="000F5333" w:rsidP="00F74799">
      <w:pPr>
        <w:pStyle w:val="ListParagraph"/>
        <w:spacing w:after="0"/>
        <w:ind w:left="709"/>
        <w:jc w:val="both"/>
      </w:pPr>
    </w:p>
    <w:p w14:paraId="59C53EFC" w14:textId="77777777" w:rsidR="00F0645F" w:rsidRDefault="00F0645F" w:rsidP="00F74799">
      <w:pPr>
        <w:pStyle w:val="ListParagraph"/>
        <w:numPr>
          <w:ilvl w:val="0"/>
          <w:numId w:val="2"/>
        </w:numPr>
        <w:spacing w:after="0"/>
        <w:ind w:left="709" w:hanging="709"/>
        <w:jc w:val="both"/>
      </w:pPr>
      <w:r>
        <w:t>The report highlights that:</w:t>
      </w:r>
    </w:p>
    <w:p w14:paraId="01C7D612" w14:textId="77777777" w:rsidR="001751E9" w:rsidRDefault="00F0645F" w:rsidP="001751E9">
      <w:pPr>
        <w:pStyle w:val="ListParagraph"/>
        <w:numPr>
          <w:ilvl w:val="0"/>
          <w:numId w:val="12"/>
        </w:numPr>
        <w:spacing w:after="0"/>
        <w:jc w:val="both"/>
      </w:pPr>
      <w:r>
        <w:t>E</w:t>
      </w:r>
      <w:r w:rsidR="009269BA">
        <w:t>nvironmental risks, in particular extreme weather</w:t>
      </w:r>
      <w:r w:rsidR="003D6944">
        <w:t xml:space="preserve"> events</w:t>
      </w:r>
      <w:r w:rsidR="009269BA">
        <w:t>, dominates the risk landscape in all three timeframes.</w:t>
      </w:r>
    </w:p>
    <w:p w14:paraId="39EC361F" w14:textId="541C0F5D" w:rsidR="001751E9" w:rsidRDefault="001751E9" w:rsidP="001751E9">
      <w:pPr>
        <w:pStyle w:val="ListParagraph"/>
        <w:numPr>
          <w:ilvl w:val="0"/>
          <w:numId w:val="12"/>
        </w:numPr>
        <w:spacing w:after="0"/>
        <w:jc w:val="both"/>
      </w:pPr>
      <w:r w:rsidRPr="001751E9">
        <w:t>Societal polarization features among the top</w:t>
      </w:r>
      <w:r>
        <w:t xml:space="preserve"> 3 </w:t>
      </w:r>
      <w:r w:rsidRPr="001751E9">
        <w:t xml:space="preserve">risks over both the current and </w:t>
      </w:r>
      <w:r>
        <w:t xml:space="preserve">2 year timeframe.  </w:t>
      </w:r>
    </w:p>
    <w:p w14:paraId="47342988" w14:textId="2723BA91" w:rsidR="00F0645F" w:rsidRDefault="00F0645F" w:rsidP="00F74799">
      <w:pPr>
        <w:pStyle w:val="ListParagraph"/>
        <w:numPr>
          <w:ilvl w:val="0"/>
          <w:numId w:val="12"/>
        </w:numPr>
        <w:spacing w:after="0"/>
        <w:jc w:val="both"/>
      </w:pPr>
      <w:r>
        <w:t>The cost of living crisis</w:t>
      </w:r>
      <w:r w:rsidR="0065440E">
        <w:t xml:space="preserve"> </w:t>
      </w:r>
      <w:r w:rsidR="00E426C8">
        <w:t xml:space="preserve">and cyber-attacks remain as </w:t>
      </w:r>
      <w:r>
        <w:t xml:space="preserve">major </w:t>
      </w:r>
      <w:r w:rsidR="0065440E">
        <w:t xml:space="preserve">areas of </w:t>
      </w:r>
      <w:r>
        <w:t xml:space="preserve">concern for 2024.  </w:t>
      </w:r>
    </w:p>
    <w:p w14:paraId="49772B14" w14:textId="323F910B" w:rsidR="00F0645F" w:rsidRDefault="0094444D" w:rsidP="00F74799">
      <w:pPr>
        <w:pStyle w:val="ListParagraph"/>
        <w:numPr>
          <w:ilvl w:val="0"/>
          <w:numId w:val="12"/>
        </w:numPr>
        <w:spacing w:after="0"/>
        <w:jc w:val="both"/>
      </w:pPr>
      <w:r>
        <w:t xml:space="preserve">Technological risks, in relation to misinformation and disinformation, </w:t>
      </w:r>
      <w:r w:rsidR="00C3378D">
        <w:t xml:space="preserve">is considered to be </w:t>
      </w:r>
      <w:r w:rsidR="001751E9">
        <w:t xml:space="preserve">a major area of concern for 2024 and </w:t>
      </w:r>
      <w:r>
        <w:t xml:space="preserve">seen as the most severe global risk </w:t>
      </w:r>
      <w:r w:rsidR="00C3378D">
        <w:t xml:space="preserve">emerging </w:t>
      </w:r>
      <w:r w:rsidR="001751E9">
        <w:t xml:space="preserve">within the </w:t>
      </w:r>
      <w:r>
        <w:t>next 2 years.</w:t>
      </w:r>
      <w:r w:rsidR="00E426C8">
        <w:t xml:space="preserve"> </w:t>
      </w:r>
      <w:r w:rsidR="00F0645F">
        <w:t xml:space="preserve"> </w:t>
      </w:r>
    </w:p>
    <w:p w14:paraId="088C3328" w14:textId="77777777" w:rsidR="00F0645F" w:rsidRDefault="00F0645F" w:rsidP="00F74799">
      <w:pPr>
        <w:pStyle w:val="ListParagraph"/>
        <w:spacing w:after="0"/>
        <w:ind w:left="709"/>
        <w:jc w:val="both"/>
      </w:pPr>
    </w:p>
    <w:p w14:paraId="342D79EB" w14:textId="664C7EEB" w:rsidR="0065440E" w:rsidRDefault="00314DBB" w:rsidP="00F74799">
      <w:pPr>
        <w:pStyle w:val="ListParagraph"/>
        <w:numPr>
          <w:ilvl w:val="0"/>
          <w:numId w:val="2"/>
        </w:numPr>
        <w:spacing w:after="0"/>
        <w:ind w:left="709" w:hanging="709"/>
        <w:jc w:val="both"/>
      </w:pPr>
      <w:r>
        <w:t xml:space="preserve">A comparison of the above global risks to the risks reported within </w:t>
      </w:r>
      <w:r w:rsidR="0018429D">
        <w:t>t</w:t>
      </w:r>
      <w:r w:rsidR="0065440E">
        <w:t xml:space="preserve">he Council’s Corporate Risk </w:t>
      </w:r>
      <w:r w:rsidR="00CF2A49">
        <w:t>Register (attached at Appendix B</w:t>
      </w:r>
      <w:r w:rsidR="0065440E">
        <w:t xml:space="preserve">) </w:t>
      </w:r>
      <w:r>
        <w:t xml:space="preserve">identified that the register </w:t>
      </w:r>
      <w:r w:rsidR="0065440E">
        <w:t>currently includes:</w:t>
      </w:r>
    </w:p>
    <w:p w14:paraId="4CA4349F" w14:textId="77777777" w:rsidR="00314DBB" w:rsidRDefault="0065440E" w:rsidP="00F74799">
      <w:pPr>
        <w:pStyle w:val="ListParagraph"/>
        <w:numPr>
          <w:ilvl w:val="0"/>
          <w:numId w:val="13"/>
        </w:numPr>
        <w:spacing w:after="0"/>
        <w:jc w:val="both"/>
      </w:pPr>
      <w:r>
        <w:t>Two medium-high priority risks on climate change (Risk Ref. LBC0084 and LBC0093).</w:t>
      </w:r>
    </w:p>
    <w:p w14:paraId="4FAAFA85" w14:textId="75F3184C" w:rsidR="0065440E" w:rsidRDefault="00314DBB" w:rsidP="00405A35">
      <w:pPr>
        <w:pStyle w:val="ListParagraph"/>
        <w:numPr>
          <w:ilvl w:val="0"/>
          <w:numId w:val="13"/>
        </w:numPr>
        <w:spacing w:after="0"/>
        <w:jc w:val="both"/>
      </w:pPr>
      <w:r>
        <w:t xml:space="preserve">Societal polarization features in </w:t>
      </w:r>
      <w:r w:rsidR="005841F6">
        <w:t>t</w:t>
      </w:r>
      <w:r w:rsidR="002C6418">
        <w:t>he medium-</w:t>
      </w:r>
      <w:r w:rsidR="005841F6">
        <w:t xml:space="preserve">high </w:t>
      </w:r>
      <w:r w:rsidR="002C6418">
        <w:t>priority risk on deterioration in community cohesion (Risk Ref. LBC0088)</w:t>
      </w:r>
      <w:r w:rsidR="005841F6">
        <w:t>.</w:t>
      </w:r>
    </w:p>
    <w:p w14:paraId="6D59AB76" w14:textId="604EA8CB" w:rsidR="0065440E" w:rsidRDefault="0065440E" w:rsidP="00F74799">
      <w:pPr>
        <w:pStyle w:val="ListParagraph"/>
        <w:numPr>
          <w:ilvl w:val="0"/>
          <w:numId w:val="13"/>
        </w:numPr>
        <w:spacing w:after="0"/>
        <w:jc w:val="both"/>
      </w:pPr>
      <w:r>
        <w:t xml:space="preserve">The cost of living crisis features in the high priority risk on failure to keep to approved budget </w:t>
      </w:r>
      <w:r w:rsidRPr="00763A3A">
        <w:t>(Risk Ref. LBC0006)</w:t>
      </w:r>
      <w:r>
        <w:t xml:space="preserve">.  </w:t>
      </w:r>
    </w:p>
    <w:p w14:paraId="2413C455" w14:textId="1D967477" w:rsidR="0065440E" w:rsidRDefault="005841F6" w:rsidP="00F74799">
      <w:pPr>
        <w:pStyle w:val="ListParagraph"/>
        <w:numPr>
          <w:ilvl w:val="0"/>
          <w:numId w:val="13"/>
        </w:numPr>
        <w:spacing w:after="0"/>
        <w:jc w:val="both"/>
      </w:pPr>
      <w:r>
        <w:t>There is a</w:t>
      </w:r>
      <w:r w:rsidR="0065440E">
        <w:t xml:space="preserve"> medium-low priority risk on cyber-attacks (Risk Ref. LBC0098).</w:t>
      </w:r>
    </w:p>
    <w:p w14:paraId="255FAB1A" w14:textId="77777777" w:rsidR="0065440E" w:rsidRPr="00763A3A" w:rsidRDefault="0065440E" w:rsidP="00F74799">
      <w:pPr>
        <w:spacing w:after="0"/>
        <w:ind w:left="709"/>
        <w:jc w:val="both"/>
      </w:pPr>
      <w:r>
        <w:t xml:space="preserve">   </w:t>
      </w:r>
    </w:p>
    <w:p w14:paraId="6233BD17" w14:textId="1F6090F2" w:rsidR="0065440E" w:rsidRDefault="0018429D" w:rsidP="0065440E">
      <w:pPr>
        <w:pStyle w:val="ListParagraph"/>
        <w:numPr>
          <w:ilvl w:val="0"/>
          <w:numId w:val="2"/>
        </w:numPr>
        <w:ind w:left="709" w:hanging="709"/>
        <w:jc w:val="both"/>
      </w:pPr>
      <w:r>
        <w:t>Further details of</w:t>
      </w:r>
      <w:r w:rsidR="0065440E">
        <w:t xml:space="preserve"> these corporate risks and the control measures in place to manage these risks are provided in the table below.  </w:t>
      </w:r>
    </w:p>
    <w:p w14:paraId="75EA017B" w14:textId="77777777" w:rsidR="0065440E" w:rsidRDefault="0065440E" w:rsidP="0065440E">
      <w:pPr>
        <w:pStyle w:val="ListParagraph"/>
        <w:spacing w:after="0"/>
        <w:ind w:left="709"/>
        <w:jc w:val="both"/>
      </w:pPr>
    </w:p>
    <w:tbl>
      <w:tblPr>
        <w:tblStyle w:val="TableGrid"/>
        <w:tblW w:w="8500" w:type="dxa"/>
        <w:tblInd w:w="709" w:type="dxa"/>
        <w:tblLook w:val="04A0" w:firstRow="1" w:lastRow="0" w:firstColumn="1" w:lastColumn="0" w:noHBand="0" w:noVBand="1"/>
      </w:tblPr>
      <w:tblGrid>
        <w:gridCol w:w="1032"/>
        <w:gridCol w:w="3533"/>
        <w:gridCol w:w="3935"/>
      </w:tblGrid>
      <w:tr w:rsidR="0065440E" w:rsidRPr="00186FEC" w14:paraId="10D366D1" w14:textId="77777777" w:rsidTr="001812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2" w:type="dxa"/>
            <w:tcBorders>
              <w:bottom w:val="single" w:sz="4" w:space="0" w:color="auto"/>
            </w:tcBorders>
            <w:shd w:val="clear" w:color="auto" w:fill="D9D9D9" w:themeFill="background1" w:themeFillShade="D9"/>
          </w:tcPr>
          <w:p w14:paraId="2D47BBA1" w14:textId="77777777" w:rsidR="0065440E" w:rsidRPr="00E660E0" w:rsidRDefault="0065440E" w:rsidP="0018127E">
            <w:pPr>
              <w:overflowPunct/>
              <w:autoSpaceDE/>
              <w:autoSpaceDN/>
              <w:adjustRightInd/>
              <w:spacing w:after="0"/>
              <w:textAlignment w:val="auto"/>
              <w:rPr>
                <w:rFonts w:cs="Arial"/>
                <w:b/>
                <w:sz w:val="22"/>
                <w:szCs w:val="22"/>
              </w:rPr>
            </w:pPr>
            <w:r w:rsidRPr="00E660E0">
              <w:rPr>
                <w:rFonts w:cs="Arial"/>
                <w:b/>
                <w:sz w:val="22"/>
                <w:szCs w:val="22"/>
              </w:rPr>
              <w:t>Risk ref</w:t>
            </w:r>
          </w:p>
        </w:tc>
        <w:tc>
          <w:tcPr>
            <w:tcW w:w="3533" w:type="dxa"/>
            <w:tcBorders>
              <w:bottom w:val="single" w:sz="4" w:space="0" w:color="auto"/>
            </w:tcBorders>
            <w:shd w:val="clear" w:color="auto" w:fill="D9D9D9" w:themeFill="background1" w:themeFillShade="D9"/>
          </w:tcPr>
          <w:p w14:paraId="33F5D15A" w14:textId="77777777" w:rsidR="0065440E" w:rsidRPr="00E660E0" w:rsidRDefault="0065440E"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E660E0">
              <w:rPr>
                <w:rFonts w:cs="Arial"/>
                <w:b/>
                <w:sz w:val="22"/>
                <w:szCs w:val="22"/>
              </w:rPr>
              <w:t>Risk details</w:t>
            </w:r>
          </w:p>
        </w:tc>
        <w:tc>
          <w:tcPr>
            <w:tcW w:w="3935" w:type="dxa"/>
            <w:tcBorders>
              <w:bottom w:val="single" w:sz="4" w:space="0" w:color="auto"/>
            </w:tcBorders>
            <w:shd w:val="clear" w:color="auto" w:fill="D9D9D9" w:themeFill="background1" w:themeFillShade="D9"/>
          </w:tcPr>
          <w:p w14:paraId="786D3692" w14:textId="4520A9CF" w:rsidR="0065440E" w:rsidRPr="00E660E0" w:rsidRDefault="00640750"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Pr>
                <w:rFonts w:cs="Arial"/>
                <w:b/>
                <w:sz w:val="22"/>
                <w:szCs w:val="22"/>
              </w:rPr>
              <w:t>Control measure u</w:t>
            </w:r>
            <w:r w:rsidR="0065440E" w:rsidRPr="00E660E0">
              <w:rPr>
                <w:rFonts w:cs="Arial"/>
                <w:b/>
                <w:sz w:val="22"/>
                <w:szCs w:val="22"/>
              </w:rPr>
              <w:t>pdate</w:t>
            </w:r>
          </w:p>
        </w:tc>
      </w:tr>
      <w:tr w:rsidR="0065440E" w:rsidRPr="00186FEC" w14:paraId="10CAD5AF" w14:textId="77777777" w:rsidTr="004514EF">
        <w:trPr>
          <w:trHeight w:val="2397"/>
        </w:trPr>
        <w:tc>
          <w:tcPr>
            <w:cnfStyle w:val="001000000000" w:firstRow="0" w:lastRow="0" w:firstColumn="1" w:lastColumn="0" w:oddVBand="0" w:evenVBand="0" w:oddHBand="0" w:evenHBand="0" w:firstRowFirstColumn="0" w:firstRowLastColumn="0" w:lastRowFirstColumn="0" w:lastRowLastColumn="0"/>
            <w:tcW w:w="1032" w:type="dxa"/>
            <w:tcBorders>
              <w:top w:val="single" w:sz="4" w:space="0" w:color="auto"/>
              <w:bottom w:val="single" w:sz="4" w:space="0" w:color="auto"/>
            </w:tcBorders>
          </w:tcPr>
          <w:p w14:paraId="191C296F" w14:textId="77777777" w:rsidR="0065440E" w:rsidRPr="00DC2E71" w:rsidRDefault="0065440E" w:rsidP="0018127E">
            <w:pPr>
              <w:overflowPunct/>
              <w:autoSpaceDE/>
              <w:autoSpaceDN/>
              <w:adjustRightInd/>
              <w:spacing w:after="0"/>
              <w:jc w:val="both"/>
              <w:textAlignment w:val="auto"/>
              <w:rPr>
                <w:rFonts w:cs="Arial"/>
                <w:b w:val="0"/>
                <w:sz w:val="22"/>
                <w:szCs w:val="22"/>
              </w:rPr>
            </w:pPr>
            <w:r w:rsidRPr="00DC2E71">
              <w:rPr>
                <w:rFonts w:cs="Arial"/>
                <w:b w:val="0"/>
                <w:sz w:val="22"/>
                <w:szCs w:val="22"/>
              </w:rPr>
              <w:t>LBC0084</w:t>
            </w:r>
          </w:p>
        </w:tc>
        <w:tc>
          <w:tcPr>
            <w:tcW w:w="3533" w:type="dxa"/>
            <w:shd w:val="clear" w:color="auto" w:fill="auto"/>
          </w:tcPr>
          <w:p w14:paraId="686E4211" w14:textId="77777777" w:rsidR="0065440E" w:rsidRPr="00DC2E71" w:rsidRDefault="0065440E" w:rsidP="0018127E">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 xml:space="preserve">Failure to achieve the emission reduction target of 2040 of net zero carbon. </w:t>
            </w:r>
          </w:p>
        </w:tc>
        <w:tc>
          <w:tcPr>
            <w:tcW w:w="3935" w:type="dxa"/>
            <w:shd w:val="clear" w:color="auto" w:fill="auto"/>
          </w:tcPr>
          <w:p w14:paraId="68E96F99"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Medium-High Priority Risk.</w:t>
            </w:r>
          </w:p>
          <w:p w14:paraId="5E6B3039"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5125ED46"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The Executive formally adopted the Luton net zero roadmap and policy on 24 July 2023.  The Roadmap provides key guidance on how the town can work towards becoming net zero by 2040; it outlines key milestones; and wider stakeholder engagement needed to achieve the targets for the borough.</w:t>
            </w:r>
          </w:p>
          <w:p w14:paraId="370C65DB"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71AC4AB6" w14:textId="4DD81660"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A Head of Climate Change and Climate</w:t>
            </w:r>
            <w:r w:rsidR="00DC2E71">
              <w:rPr>
                <w:rFonts w:cs="Arial"/>
                <w:sz w:val="22"/>
                <w:szCs w:val="22"/>
              </w:rPr>
              <w:t xml:space="preserve"> Action</w:t>
            </w:r>
            <w:r w:rsidRPr="00DC2E71">
              <w:rPr>
                <w:rFonts w:cs="Arial"/>
                <w:sz w:val="22"/>
                <w:szCs w:val="22"/>
              </w:rPr>
              <w:t xml:space="preserve"> Project Officer have been appointed.</w:t>
            </w:r>
          </w:p>
          <w:p w14:paraId="79BB253F"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1B90C8EA" w14:textId="75DF2E93" w:rsidR="0065440E"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New Terms of Reference for the Climate Change Advisory Group have been agreed and roles assigned to each member to take the lead.</w:t>
            </w:r>
          </w:p>
          <w:p w14:paraId="0E0AA51B" w14:textId="496CBF45" w:rsidR="00DC2E71" w:rsidRDefault="00DC2E71"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3C751685" w14:textId="77777777" w:rsidR="00DC2E71" w:rsidRPr="00DC2E71" w:rsidRDefault="00DC2E71" w:rsidP="00DC2E71">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Formal links with Inclusive Economy Board established for system partners’ engagement, reporting and potential joint delivery.  </w:t>
            </w:r>
          </w:p>
          <w:p w14:paraId="72EDBCCA" w14:textId="77777777" w:rsidR="00DC2E71" w:rsidRPr="00DC2E71" w:rsidRDefault="00DC2E71" w:rsidP="00DC2E71">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257079D6" w14:textId="77777777" w:rsidR="00DC2E71" w:rsidRPr="00DC2E71" w:rsidRDefault="00DC2E71" w:rsidP="00DC2E71">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 xml:space="preserve">Internal Net Zero Delivery Group formed to increase services’ accountability and focus on delivery. </w:t>
            </w:r>
          </w:p>
          <w:p w14:paraId="1C78898F"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5741F08A" w14:textId="77777777" w:rsidR="0065440E" w:rsidRPr="00DC2E71"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Significant progress has been achieved on a range of projects across the Council, for example:</w:t>
            </w:r>
          </w:p>
          <w:p w14:paraId="17B5C3D0" w14:textId="77777777" w:rsidR="0065440E" w:rsidRPr="00DC2E71" w:rsidRDefault="0065440E" w:rsidP="0065440E">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£34m investment programme into insulating council properties.</w:t>
            </w:r>
          </w:p>
          <w:p w14:paraId="3325C8B2" w14:textId="77777777" w:rsidR="0065440E" w:rsidRPr="00DC2E71" w:rsidRDefault="0065440E" w:rsidP="0065440E">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£7.7m investment in 16 schools and public buildings to provide IoT lighting, heat pumps and PV panels.</w:t>
            </w:r>
          </w:p>
          <w:p w14:paraId="4B912F1A" w14:textId="2211BA45" w:rsidR="0065440E" w:rsidRPr="00DC2E71" w:rsidRDefault="0065440E" w:rsidP="0065440E">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9</w:t>
            </w:r>
            <w:r w:rsidR="00DC2E71">
              <w:rPr>
                <w:rFonts w:cs="Arial"/>
                <w:sz w:val="22"/>
                <w:szCs w:val="22"/>
              </w:rPr>
              <w:t>8</w:t>
            </w:r>
            <w:r w:rsidRPr="00DC2E71">
              <w:rPr>
                <w:rFonts w:cs="Arial"/>
                <w:sz w:val="22"/>
                <w:szCs w:val="22"/>
              </w:rPr>
              <w:t>% of street lights have been converted to LEDs.</w:t>
            </w:r>
          </w:p>
          <w:p w14:paraId="1BC8DB81" w14:textId="77777777" w:rsidR="0065440E" w:rsidRPr="00DC2E71" w:rsidRDefault="0065440E" w:rsidP="0065440E">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Investment in liquid to gas biofuel for council fleet.</w:t>
            </w:r>
          </w:p>
          <w:p w14:paraId="03999C4A" w14:textId="40ED7AD6" w:rsidR="0065440E" w:rsidRPr="00DC2E71" w:rsidRDefault="0065440E" w:rsidP="0065440E">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Increased green spaces and tree cover</w:t>
            </w:r>
            <w:r w:rsidR="00DC2E71">
              <w:rPr>
                <w:rFonts w:cs="Arial"/>
                <w:sz w:val="22"/>
                <w:szCs w:val="22"/>
              </w:rPr>
              <w:t xml:space="preserve"> ambition</w:t>
            </w:r>
            <w:r w:rsidRPr="00DC2E71">
              <w:rPr>
                <w:rFonts w:cs="Arial"/>
                <w:sz w:val="22"/>
                <w:szCs w:val="22"/>
              </w:rPr>
              <w:t xml:space="preserve">.  </w:t>
            </w:r>
          </w:p>
          <w:p w14:paraId="506A7AFC" w14:textId="77777777" w:rsidR="00DC2E71" w:rsidRDefault="0065440E" w:rsidP="00DC2E71">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Raising climate change awareness.  An e-learning module has been developed for council staff and elected members. A Climate Change Guide for residents and refreshed advice for home energy improvements have been published on the council’s website.</w:t>
            </w:r>
          </w:p>
          <w:p w14:paraId="74DDAF28" w14:textId="77777777" w:rsidR="00DC2E71" w:rsidRDefault="00DC2E71" w:rsidP="00DC2E71">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12 schools ha</w:t>
            </w:r>
            <w:r>
              <w:rPr>
                <w:rFonts w:cs="Arial"/>
                <w:sz w:val="22"/>
                <w:szCs w:val="22"/>
              </w:rPr>
              <w:t xml:space="preserve">ve </w:t>
            </w:r>
            <w:r w:rsidRPr="00DC2E71">
              <w:rPr>
                <w:rFonts w:cs="Arial"/>
                <w:sz w:val="22"/>
                <w:szCs w:val="22"/>
              </w:rPr>
              <w:t>been supported to develop Climate Action Plans</w:t>
            </w:r>
            <w:r>
              <w:rPr>
                <w:rFonts w:cs="Arial"/>
                <w:sz w:val="22"/>
                <w:szCs w:val="22"/>
              </w:rPr>
              <w:t>.</w:t>
            </w:r>
          </w:p>
          <w:p w14:paraId="572CBBB3" w14:textId="77777777" w:rsidR="00DC2E71" w:rsidRDefault="00DC2E71" w:rsidP="00DC2E71">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Capacity building programmes for businesses and community groups underway – these should increase knowledge of net zero and facilitate further action plans.</w:t>
            </w:r>
          </w:p>
          <w:p w14:paraId="1937E7F8" w14:textId="290E9793" w:rsidR="004514EF" w:rsidRPr="004514EF" w:rsidRDefault="00DC2E71" w:rsidP="004514EF">
            <w:pPr>
              <w:pStyle w:val="ListParagraph"/>
              <w:numPr>
                <w:ilvl w:val="0"/>
                <w:numId w:val="9"/>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C2E71">
              <w:rPr>
                <w:rFonts w:cs="Arial"/>
                <w:sz w:val="22"/>
                <w:szCs w:val="22"/>
              </w:rPr>
              <w:t>Support for community energy schemes secured until Mar</w:t>
            </w:r>
            <w:r>
              <w:rPr>
                <w:rFonts w:cs="Arial"/>
                <w:sz w:val="22"/>
                <w:szCs w:val="22"/>
              </w:rPr>
              <w:t>ch</w:t>
            </w:r>
            <w:r w:rsidRPr="00DC2E71">
              <w:rPr>
                <w:rFonts w:cs="Arial"/>
                <w:sz w:val="22"/>
                <w:szCs w:val="22"/>
              </w:rPr>
              <w:t xml:space="preserve"> </w:t>
            </w:r>
            <w:r>
              <w:rPr>
                <w:rFonts w:cs="Arial"/>
                <w:sz w:val="22"/>
                <w:szCs w:val="22"/>
              </w:rPr>
              <w:t>20</w:t>
            </w:r>
            <w:r w:rsidRPr="00DC2E71">
              <w:rPr>
                <w:rFonts w:cs="Arial"/>
                <w:sz w:val="22"/>
                <w:szCs w:val="22"/>
              </w:rPr>
              <w:t>25.</w:t>
            </w:r>
          </w:p>
        </w:tc>
      </w:tr>
      <w:tr w:rsidR="0065440E" w:rsidRPr="00663F5E" w14:paraId="188F490B" w14:textId="77777777" w:rsidTr="004514EF">
        <w:trPr>
          <w:trHeight w:val="837"/>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50746414" w14:textId="77777777" w:rsidR="0065440E" w:rsidRPr="001A77D5" w:rsidRDefault="0065440E" w:rsidP="0018127E">
            <w:pPr>
              <w:overflowPunct/>
              <w:autoSpaceDE/>
              <w:autoSpaceDN/>
              <w:adjustRightInd/>
              <w:spacing w:after="0"/>
              <w:jc w:val="both"/>
              <w:textAlignment w:val="auto"/>
              <w:rPr>
                <w:rFonts w:cs="Arial"/>
                <w:b w:val="0"/>
                <w:sz w:val="22"/>
                <w:szCs w:val="22"/>
              </w:rPr>
            </w:pPr>
            <w:r w:rsidRPr="001A77D5">
              <w:rPr>
                <w:rFonts w:cs="Arial"/>
                <w:b w:val="0"/>
                <w:color w:val="000000"/>
                <w:sz w:val="22"/>
                <w:szCs w:val="22"/>
                <w:lang w:eastAsia="en-GB"/>
              </w:rPr>
              <w:t xml:space="preserve">LBC0093 </w:t>
            </w:r>
          </w:p>
        </w:tc>
        <w:tc>
          <w:tcPr>
            <w:tcW w:w="3533" w:type="dxa"/>
            <w:shd w:val="clear" w:color="auto" w:fill="auto"/>
          </w:tcPr>
          <w:p w14:paraId="1C303460" w14:textId="77777777" w:rsidR="0065440E" w:rsidRPr="001A77D5" w:rsidRDefault="0065440E" w:rsidP="0018127E">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r w:rsidRPr="001A77D5">
              <w:rPr>
                <w:rFonts w:cs="Arial"/>
                <w:color w:val="000000"/>
                <w:sz w:val="22"/>
                <w:szCs w:val="22"/>
                <w:lang w:eastAsia="en-GB"/>
              </w:rPr>
              <w:t>In the event of a failure to limit the causes, prioritise action and allocate resources, and to prepare for the effects, of the climate crisis at a local, national and international level, there is an increased risk to Luton of extreme weather events that may significantly disrupt our ability to deliver services, damage the council’s reputation, lead to further financial challenges and ecological and environmental impacts for future generations.</w:t>
            </w:r>
          </w:p>
          <w:p w14:paraId="005609F1" w14:textId="77777777" w:rsidR="0065440E" w:rsidRPr="001A77D5" w:rsidRDefault="0065440E" w:rsidP="0018127E">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935" w:type="dxa"/>
            <w:shd w:val="clear" w:color="auto" w:fill="auto"/>
          </w:tcPr>
          <w:p w14:paraId="7FC80577"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Medium-High Priority Risk.</w:t>
            </w:r>
          </w:p>
          <w:p w14:paraId="378698CC"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41A0A7FF"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 xml:space="preserve">The Council is a Lead Local Flood Authority, and works in partnership with the Environment Agency and water companies to manage the risk of floods and to deliver flood mitigation schemes.  </w:t>
            </w:r>
          </w:p>
          <w:p w14:paraId="4B59ABF7"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4A2703C3" w14:textId="50A75C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 xml:space="preserve">A Local Flood Risk Management Strategy is in place to improve the understanding of flood risks in Luton; consider mitigation; and </w:t>
            </w:r>
            <w:r w:rsidR="00ED4575" w:rsidRPr="001A77D5">
              <w:rPr>
                <w:rFonts w:cs="Arial"/>
                <w:sz w:val="22"/>
                <w:szCs w:val="22"/>
              </w:rPr>
              <w:t xml:space="preserve">to </w:t>
            </w:r>
            <w:r w:rsidRPr="001A77D5">
              <w:rPr>
                <w:rFonts w:cs="Arial"/>
                <w:sz w:val="22"/>
                <w:szCs w:val="22"/>
              </w:rPr>
              <w:t>provide emergency planning, response and resilience when flooding incidents occur.</w:t>
            </w:r>
          </w:p>
          <w:p w14:paraId="55C8324B"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7C3E5B02" w14:textId="77777777" w:rsidR="0065440E" w:rsidRPr="001A77D5"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The Luton Net Zero Climate Policy and Action Plan includes a section on biodiversity and resilience.  This includes actions such as:</w:t>
            </w:r>
          </w:p>
          <w:p w14:paraId="7F364DEA" w14:textId="77777777" w:rsidR="0065440E" w:rsidRPr="001A77D5" w:rsidRDefault="0065440E" w:rsidP="0065440E">
            <w:pPr>
              <w:pStyle w:val="ListParagraph"/>
              <w:numPr>
                <w:ilvl w:val="0"/>
                <w:numId w:val="10"/>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Continuing to apply for government funding for flood and water management.</w:t>
            </w:r>
          </w:p>
          <w:p w14:paraId="61580351" w14:textId="77777777" w:rsidR="0065440E" w:rsidRPr="001A77D5" w:rsidRDefault="0065440E" w:rsidP="0065440E">
            <w:pPr>
              <w:pStyle w:val="ListParagraph"/>
              <w:numPr>
                <w:ilvl w:val="0"/>
                <w:numId w:val="10"/>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Emergency preparedness for extreme weather events.</w:t>
            </w:r>
          </w:p>
          <w:p w14:paraId="08841744" w14:textId="77777777" w:rsidR="0065440E" w:rsidRPr="001A77D5" w:rsidRDefault="0065440E" w:rsidP="0065440E">
            <w:pPr>
              <w:pStyle w:val="ListParagraph"/>
              <w:numPr>
                <w:ilvl w:val="0"/>
                <w:numId w:val="10"/>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Working with the community to raise awareness and manage risks of flooding.</w:t>
            </w:r>
          </w:p>
          <w:p w14:paraId="4E7D4134" w14:textId="6507895A" w:rsidR="0065440E" w:rsidRPr="001A77D5" w:rsidRDefault="00C212D8" w:rsidP="0065440E">
            <w:pPr>
              <w:pStyle w:val="ListParagraph"/>
              <w:numPr>
                <w:ilvl w:val="0"/>
                <w:numId w:val="10"/>
              </w:num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Identifying</w:t>
            </w:r>
            <w:r w:rsidR="0065440E" w:rsidRPr="001A77D5">
              <w:rPr>
                <w:rFonts w:cs="Arial"/>
                <w:sz w:val="22"/>
                <w:szCs w:val="22"/>
              </w:rPr>
              <w:t xml:space="preserve"> tree planting opportunities to increase tree cover.</w:t>
            </w:r>
          </w:p>
          <w:p w14:paraId="5D4FA105" w14:textId="77777777" w:rsidR="0065440E" w:rsidRDefault="0065440E"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743BB274" w14:textId="77777777" w:rsidR="001A77D5" w:rsidRPr="001A77D5" w:rsidRDefault="001A77D5" w:rsidP="001A77D5">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Flood risk projects in delivery – Sustainable Drainage in schools (2 locations), River Lea Linear Park, Open Lea 2 (culverts and flood risk in town centre).</w:t>
            </w:r>
          </w:p>
          <w:p w14:paraId="313A103E" w14:textId="77777777" w:rsidR="001A77D5" w:rsidRPr="001A77D5" w:rsidRDefault="001A77D5" w:rsidP="001A77D5">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363B35E4" w14:textId="4C6B46F9" w:rsidR="001A77D5" w:rsidRPr="001A77D5" w:rsidRDefault="001A77D5" w:rsidP="001A77D5">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A77D5">
              <w:rPr>
                <w:rFonts w:cs="Arial"/>
                <w:sz w:val="22"/>
                <w:szCs w:val="22"/>
              </w:rPr>
              <w:t>Officers are part of regional (East of England) and cross-sectoral (NHS/public health led) working groups on climate change adaption assessing preparedness, analysing gaps and lobbying for more resource from government.</w:t>
            </w:r>
          </w:p>
        </w:tc>
      </w:tr>
      <w:tr w:rsidR="00DC48F5" w:rsidRPr="00663F5E" w14:paraId="787305C2" w14:textId="77777777" w:rsidTr="004514EF">
        <w:trPr>
          <w:trHeight w:val="4125"/>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6515BD68" w14:textId="1B4E8A38" w:rsidR="00DC48F5" w:rsidRPr="00DE24B0" w:rsidRDefault="005841F6" w:rsidP="0018127E">
            <w:pPr>
              <w:overflowPunct/>
              <w:autoSpaceDE/>
              <w:autoSpaceDN/>
              <w:adjustRightInd/>
              <w:spacing w:after="0"/>
              <w:jc w:val="both"/>
              <w:textAlignment w:val="auto"/>
              <w:rPr>
                <w:rFonts w:cs="Arial"/>
                <w:b w:val="0"/>
                <w:color w:val="000000"/>
                <w:sz w:val="22"/>
                <w:szCs w:val="22"/>
                <w:lang w:eastAsia="en-GB"/>
              </w:rPr>
            </w:pPr>
            <w:r w:rsidRPr="00DE24B0">
              <w:rPr>
                <w:rFonts w:cs="Arial"/>
                <w:b w:val="0"/>
                <w:color w:val="000000"/>
                <w:sz w:val="22"/>
                <w:szCs w:val="22"/>
                <w:lang w:eastAsia="en-GB"/>
              </w:rPr>
              <w:t>LBC0088</w:t>
            </w:r>
          </w:p>
        </w:tc>
        <w:tc>
          <w:tcPr>
            <w:tcW w:w="3533" w:type="dxa"/>
            <w:shd w:val="clear" w:color="auto" w:fill="auto"/>
          </w:tcPr>
          <w:p w14:paraId="0E103B8A" w14:textId="458C61EF" w:rsidR="00DC48F5" w:rsidRPr="00DE24B0" w:rsidRDefault="005841F6" w:rsidP="0018127E">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r w:rsidRPr="00DE24B0">
              <w:rPr>
                <w:rFonts w:cs="Arial"/>
                <w:color w:val="000000"/>
                <w:sz w:val="22"/>
                <w:szCs w:val="22"/>
                <w:lang w:eastAsia="en-GB"/>
              </w:rPr>
              <w:t>Deterioration in community cohesion.</w:t>
            </w:r>
          </w:p>
        </w:tc>
        <w:tc>
          <w:tcPr>
            <w:tcW w:w="3935" w:type="dxa"/>
            <w:shd w:val="clear" w:color="auto" w:fill="auto"/>
          </w:tcPr>
          <w:p w14:paraId="14D310BB" w14:textId="77777777" w:rsidR="00DC48F5" w:rsidRPr="00DE24B0" w:rsidRDefault="005841F6"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E24B0">
              <w:rPr>
                <w:rFonts w:cs="Arial"/>
                <w:sz w:val="22"/>
                <w:szCs w:val="22"/>
              </w:rPr>
              <w:t>Medium-High Priority Risk.</w:t>
            </w:r>
          </w:p>
          <w:p w14:paraId="2163E422" w14:textId="77777777" w:rsidR="005841F6" w:rsidRPr="00DE24B0" w:rsidRDefault="005841F6"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0A49EE05" w14:textId="06366D7A"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E24B0">
              <w:rPr>
                <w:rFonts w:cs="Arial"/>
                <w:sz w:val="22"/>
                <w:szCs w:val="22"/>
              </w:rPr>
              <w:t xml:space="preserve">Reviewed in line with </w:t>
            </w:r>
            <w:r>
              <w:rPr>
                <w:rFonts w:cs="Arial"/>
                <w:sz w:val="22"/>
                <w:szCs w:val="22"/>
              </w:rPr>
              <w:t xml:space="preserve">the </w:t>
            </w:r>
            <w:r w:rsidRPr="00DE24B0">
              <w:rPr>
                <w:rFonts w:cs="Arial"/>
                <w:sz w:val="22"/>
                <w:szCs w:val="22"/>
              </w:rPr>
              <w:t>new S</w:t>
            </w:r>
            <w:r>
              <w:rPr>
                <w:rFonts w:cs="Arial"/>
                <w:sz w:val="22"/>
                <w:szCs w:val="22"/>
              </w:rPr>
              <w:t xml:space="preserve">ocial </w:t>
            </w:r>
            <w:r w:rsidRPr="00DE24B0">
              <w:rPr>
                <w:rFonts w:cs="Arial"/>
                <w:sz w:val="22"/>
                <w:szCs w:val="22"/>
              </w:rPr>
              <w:t>J</w:t>
            </w:r>
            <w:r>
              <w:rPr>
                <w:rFonts w:cs="Arial"/>
                <w:sz w:val="22"/>
                <w:szCs w:val="22"/>
              </w:rPr>
              <w:t xml:space="preserve">ustice </w:t>
            </w:r>
            <w:r w:rsidRPr="00DE24B0">
              <w:rPr>
                <w:rFonts w:cs="Arial"/>
                <w:sz w:val="22"/>
                <w:szCs w:val="22"/>
              </w:rPr>
              <w:t>U</w:t>
            </w:r>
            <w:r>
              <w:rPr>
                <w:rFonts w:cs="Arial"/>
                <w:sz w:val="22"/>
                <w:szCs w:val="22"/>
              </w:rPr>
              <w:t>nit</w:t>
            </w:r>
            <w:r w:rsidRPr="00DE24B0">
              <w:rPr>
                <w:rFonts w:cs="Arial"/>
                <w:sz w:val="22"/>
                <w:szCs w:val="22"/>
              </w:rPr>
              <w:t xml:space="preserve"> structure and service plan 2023-</w:t>
            </w:r>
            <w:r>
              <w:rPr>
                <w:rFonts w:cs="Arial"/>
                <w:sz w:val="22"/>
                <w:szCs w:val="22"/>
              </w:rPr>
              <w:t>202</w:t>
            </w:r>
            <w:r w:rsidRPr="00DE24B0">
              <w:rPr>
                <w:rFonts w:cs="Arial"/>
                <w:sz w:val="22"/>
                <w:szCs w:val="22"/>
              </w:rPr>
              <w:t xml:space="preserve">4. </w:t>
            </w:r>
          </w:p>
          <w:p w14:paraId="2A4A22D9" w14:textId="77777777"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3EC78317" w14:textId="77777777"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E24B0">
              <w:rPr>
                <w:rFonts w:cs="Arial"/>
                <w:sz w:val="22"/>
                <w:szCs w:val="22"/>
              </w:rPr>
              <w:t xml:space="preserve">New Fairness </w:t>
            </w:r>
            <w:r>
              <w:rPr>
                <w:rFonts w:cs="Arial"/>
                <w:sz w:val="22"/>
                <w:szCs w:val="22"/>
              </w:rPr>
              <w:t>S</w:t>
            </w:r>
            <w:r w:rsidRPr="00DE24B0">
              <w:rPr>
                <w:rFonts w:cs="Arial"/>
                <w:sz w:val="22"/>
                <w:szCs w:val="22"/>
              </w:rPr>
              <w:t xml:space="preserve">trategy developed and published in current year. </w:t>
            </w:r>
          </w:p>
          <w:p w14:paraId="2FF517B5" w14:textId="77777777"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5FF54682" w14:textId="77777777"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E24B0">
              <w:rPr>
                <w:rFonts w:cs="Arial"/>
                <w:sz w:val="22"/>
                <w:szCs w:val="22"/>
              </w:rPr>
              <w:t xml:space="preserve">Ongoing tension monitoring regularly conducted with </w:t>
            </w:r>
            <w:r>
              <w:rPr>
                <w:rFonts w:cs="Arial"/>
                <w:sz w:val="22"/>
                <w:szCs w:val="22"/>
              </w:rPr>
              <w:t xml:space="preserve">the </w:t>
            </w:r>
            <w:r w:rsidRPr="00DE24B0">
              <w:rPr>
                <w:rFonts w:cs="Arial"/>
                <w:sz w:val="22"/>
                <w:szCs w:val="22"/>
              </w:rPr>
              <w:t xml:space="preserve">Police. </w:t>
            </w:r>
          </w:p>
          <w:p w14:paraId="6C9C4795" w14:textId="77777777" w:rsid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1FC8E12C" w14:textId="7E4C5FB0" w:rsidR="00DE24B0" w:rsidRPr="00DE24B0" w:rsidRDefault="00DE24B0" w:rsidP="0018127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DE24B0">
              <w:rPr>
                <w:rFonts w:cs="Arial"/>
                <w:sz w:val="22"/>
                <w:szCs w:val="22"/>
              </w:rPr>
              <w:t>New Community Safety Partnership Plan</w:t>
            </w:r>
            <w:r>
              <w:rPr>
                <w:rFonts w:cs="Arial"/>
                <w:sz w:val="22"/>
                <w:szCs w:val="22"/>
              </w:rPr>
              <w:t xml:space="preserve"> 2024</w:t>
            </w:r>
            <w:r w:rsidRPr="00DE24B0">
              <w:rPr>
                <w:rFonts w:cs="Arial"/>
                <w:sz w:val="22"/>
                <w:szCs w:val="22"/>
              </w:rPr>
              <w:t>-</w:t>
            </w:r>
            <w:r>
              <w:rPr>
                <w:rFonts w:cs="Arial"/>
                <w:sz w:val="22"/>
                <w:szCs w:val="22"/>
              </w:rPr>
              <w:t>20</w:t>
            </w:r>
            <w:r w:rsidRPr="00DE24B0">
              <w:rPr>
                <w:rFonts w:cs="Arial"/>
                <w:sz w:val="22"/>
                <w:szCs w:val="22"/>
              </w:rPr>
              <w:t xml:space="preserve">28 </w:t>
            </w:r>
            <w:r>
              <w:rPr>
                <w:rFonts w:cs="Arial"/>
                <w:sz w:val="22"/>
                <w:szCs w:val="22"/>
              </w:rPr>
              <w:t xml:space="preserve">is </w:t>
            </w:r>
            <w:r w:rsidRPr="00DE24B0">
              <w:rPr>
                <w:rFonts w:cs="Arial"/>
                <w:sz w:val="22"/>
                <w:szCs w:val="22"/>
              </w:rPr>
              <w:t>in production to address threats, harms and risks in partnership.</w:t>
            </w:r>
          </w:p>
        </w:tc>
      </w:tr>
      <w:tr w:rsidR="0065440E" w:rsidRPr="00663F5E" w14:paraId="3DAC752F" w14:textId="77777777" w:rsidTr="004514EF">
        <w:trPr>
          <w:trHeight w:val="6791"/>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421F458A" w14:textId="6042E2E5" w:rsidR="0065440E" w:rsidRPr="0011133B" w:rsidRDefault="0065440E" w:rsidP="0065440E">
            <w:pPr>
              <w:overflowPunct/>
              <w:autoSpaceDE/>
              <w:autoSpaceDN/>
              <w:adjustRightInd/>
              <w:spacing w:after="0"/>
              <w:jc w:val="both"/>
              <w:textAlignment w:val="auto"/>
              <w:rPr>
                <w:rFonts w:cs="Arial"/>
                <w:b w:val="0"/>
                <w:color w:val="000000"/>
                <w:sz w:val="22"/>
                <w:szCs w:val="22"/>
                <w:lang w:eastAsia="en-GB"/>
              </w:rPr>
            </w:pPr>
            <w:r w:rsidRPr="0011133B">
              <w:rPr>
                <w:rFonts w:cs="Arial"/>
                <w:b w:val="0"/>
                <w:color w:val="000000"/>
                <w:sz w:val="22"/>
                <w:szCs w:val="22"/>
                <w:lang w:eastAsia="en-GB"/>
              </w:rPr>
              <w:t>LBC0006</w:t>
            </w:r>
          </w:p>
        </w:tc>
        <w:tc>
          <w:tcPr>
            <w:tcW w:w="3533" w:type="dxa"/>
            <w:shd w:val="clear" w:color="auto" w:fill="auto"/>
          </w:tcPr>
          <w:p w14:paraId="0B89DE11" w14:textId="5FA133DC"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1133B">
              <w:rPr>
                <w:rFonts w:cs="Arial"/>
                <w:sz w:val="22"/>
                <w:szCs w:val="22"/>
              </w:rPr>
              <w:t xml:space="preserve">Failure to keep to approved budget, particularly re: demand-led services, new requirements, savings targets, inflationary pressures on both price and pay, budget pressures due to demographic changes, loss of income and the </w:t>
            </w:r>
            <w:r w:rsidR="004A2252" w:rsidRPr="00E17FE3">
              <w:rPr>
                <w:rFonts w:cs="Arial"/>
                <w:sz w:val="22"/>
                <w:szCs w:val="22"/>
              </w:rPr>
              <w:t xml:space="preserve">aftermath </w:t>
            </w:r>
            <w:r w:rsidRPr="00E17FE3">
              <w:rPr>
                <w:rFonts w:cs="Arial"/>
                <w:sz w:val="22"/>
                <w:szCs w:val="22"/>
              </w:rPr>
              <w:t>of Covid</w:t>
            </w:r>
            <w:r w:rsidRPr="0011133B">
              <w:rPr>
                <w:rFonts w:cs="Arial"/>
                <w:sz w:val="22"/>
                <w:szCs w:val="22"/>
              </w:rPr>
              <w:t>-19 on the Council and Luton Rising.</w:t>
            </w:r>
          </w:p>
          <w:p w14:paraId="7EF904D7" w14:textId="77777777"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p>
          <w:p w14:paraId="44BBA82F" w14:textId="3DB7AD2D" w:rsidR="0065440E" w:rsidRPr="0011133B" w:rsidRDefault="0065440E" w:rsidP="0065440E">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p>
        </w:tc>
        <w:tc>
          <w:tcPr>
            <w:tcW w:w="3935" w:type="dxa"/>
            <w:shd w:val="clear" w:color="auto" w:fill="auto"/>
          </w:tcPr>
          <w:p w14:paraId="79DDB0B2" w14:textId="230E69FC"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1133B">
              <w:rPr>
                <w:rFonts w:cs="Arial"/>
                <w:sz w:val="22"/>
                <w:szCs w:val="22"/>
              </w:rPr>
              <w:t>High Priority Risk.</w:t>
            </w:r>
          </w:p>
          <w:p w14:paraId="0674FE85" w14:textId="77777777"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027C63D2" w14:textId="09D66E74"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color w:val="1F497D"/>
                <w:sz w:val="22"/>
                <w:szCs w:val="22"/>
              </w:rPr>
            </w:pPr>
            <w:r w:rsidRPr="0011133B">
              <w:rPr>
                <w:rFonts w:cs="Arial"/>
                <w:sz w:val="22"/>
                <w:szCs w:val="22"/>
              </w:rPr>
              <w:t>The ability to increase Council Tax by 5%, a modest increase in Grant Funding combined with prudent financial management following the July 2020 emergency budget has allowed the Council to set a balanced Gene</w:t>
            </w:r>
            <w:r w:rsidR="0011133B">
              <w:rPr>
                <w:rFonts w:cs="Arial"/>
                <w:sz w:val="22"/>
                <w:szCs w:val="22"/>
              </w:rPr>
              <w:t xml:space="preserve">ral Fund Revenue budget for </w:t>
            </w:r>
            <w:r w:rsidR="0011133B" w:rsidRPr="00E17FE3">
              <w:rPr>
                <w:rFonts w:cs="Arial"/>
                <w:sz w:val="22"/>
                <w:szCs w:val="22"/>
              </w:rPr>
              <w:t>2024/25</w:t>
            </w:r>
            <w:r w:rsidRPr="00E17FE3">
              <w:rPr>
                <w:rFonts w:cs="Arial"/>
                <w:sz w:val="22"/>
                <w:szCs w:val="22"/>
              </w:rPr>
              <w:t>.</w:t>
            </w:r>
            <w:r w:rsidRPr="0011133B">
              <w:rPr>
                <w:rFonts w:cs="Arial"/>
                <w:sz w:val="22"/>
                <w:szCs w:val="22"/>
              </w:rPr>
              <w:t>  However delivering this is subject to specific challenges and risks</w:t>
            </w:r>
            <w:r w:rsidRPr="0011133B">
              <w:rPr>
                <w:rFonts w:cs="Arial"/>
                <w:color w:val="1F497D"/>
                <w:sz w:val="22"/>
                <w:szCs w:val="22"/>
              </w:rPr>
              <w:t>.</w:t>
            </w:r>
          </w:p>
          <w:p w14:paraId="790E1C05" w14:textId="77777777"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2D55D685" w14:textId="77777777" w:rsidR="0065440E" w:rsidRPr="0011133B" w:rsidRDefault="0065440E" w:rsidP="0065440E">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1133B">
              <w:rPr>
                <w:rFonts w:cs="Arial"/>
                <w:sz w:val="22"/>
                <w:szCs w:val="22"/>
              </w:rPr>
              <w:t>The following mitigation plans and regular monitoring, reporting with corrective measures should assist the council to deliver a balanced budget this year.</w:t>
            </w:r>
          </w:p>
          <w:p w14:paraId="511369AF" w14:textId="77777777" w:rsidR="0065440E" w:rsidRPr="0011133B"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1133B">
              <w:rPr>
                <w:sz w:val="22"/>
                <w:szCs w:val="22"/>
              </w:rPr>
              <w:t xml:space="preserve">Preparation and delivery of a deficit recovery plan and this year’s new savings.  This is proving to be a challenge because of the cost of living crisis, inflation, high interest rate, and other macroeconomic factors. </w:t>
            </w:r>
          </w:p>
          <w:p w14:paraId="70CA2F58" w14:textId="77777777" w:rsidR="0065440E" w:rsidRPr="0011133B"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11133B">
              <w:rPr>
                <w:sz w:val="22"/>
                <w:szCs w:val="22"/>
              </w:rPr>
              <w:t>No additional commitments without identification of funding sources.</w:t>
            </w:r>
          </w:p>
          <w:p w14:paraId="17873BD5" w14:textId="77777777" w:rsidR="0065440E" w:rsidRPr="0011133B"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11133B">
              <w:rPr>
                <w:sz w:val="22"/>
                <w:szCs w:val="22"/>
              </w:rPr>
              <w:t>Delivery of the income target as approved by Council.</w:t>
            </w:r>
          </w:p>
          <w:p w14:paraId="3A0F0D68" w14:textId="77777777" w:rsidR="0065440E" w:rsidRPr="0011133B"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11133B">
              <w:rPr>
                <w:sz w:val="22"/>
                <w:szCs w:val="22"/>
              </w:rPr>
              <w:t>Exit strategy for commitments whereby funding was available on a one-off basis.</w:t>
            </w:r>
          </w:p>
          <w:p w14:paraId="6E821D01" w14:textId="77777777" w:rsidR="0065440E" w:rsidRPr="0011133B"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11133B">
              <w:rPr>
                <w:sz w:val="22"/>
                <w:szCs w:val="22"/>
              </w:rPr>
              <w:t>Active demand management and preventative measures put in place at the outset.</w:t>
            </w:r>
          </w:p>
          <w:p w14:paraId="109FA17B" w14:textId="77777777" w:rsidR="0065440E" w:rsidRPr="00E17FE3"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11133B">
              <w:rPr>
                <w:sz w:val="22"/>
                <w:szCs w:val="22"/>
              </w:rPr>
              <w:t xml:space="preserve">Close monitoring of inflation and increases in interest rates and impact on both revenue and capital budget and corrective measures put </w:t>
            </w:r>
            <w:r w:rsidRPr="00E17FE3">
              <w:rPr>
                <w:sz w:val="22"/>
                <w:szCs w:val="22"/>
              </w:rPr>
              <w:t>in place.</w:t>
            </w:r>
          </w:p>
          <w:p w14:paraId="5702B7BC" w14:textId="77777777" w:rsidR="0065440E" w:rsidRPr="00E17FE3"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E17FE3">
              <w:rPr>
                <w:sz w:val="22"/>
                <w:szCs w:val="22"/>
              </w:rPr>
              <w:t>Close monitoring of council tax and business rates collection rates, commercial income and housing benefits payment.</w:t>
            </w:r>
          </w:p>
          <w:p w14:paraId="1E4F8F26" w14:textId="16A6E282" w:rsidR="0065440E" w:rsidRPr="00E17FE3" w:rsidRDefault="0065440E" w:rsidP="0065440E">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E17FE3">
              <w:rPr>
                <w:sz w:val="22"/>
                <w:szCs w:val="22"/>
              </w:rPr>
              <w:t xml:space="preserve">Working with Human Engine </w:t>
            </w:r>
            <w:r w:rsidR="004A2252" w:rsidRPr="00E17FE3">
              <w:rPr>
                <w:sz w:val="22"/>
                <w:szCs w:val="22"/>
              </w:rPr>
              <w:t>and with other departments on the Council</w:t>
            </w:r>
            <w:r w:rsidR="00E17FE3" w:rsidRPr="00E17FE3">
              <w:rPr>
                <w:sz w:val="22"/>
                <w:szCs w:val="22"/>
              </w:rPr>
              <w:t>’s</w:t>
            </w:r>
            <w:r w:rsidR="004A2252" w:rsidRPr="00E17FE3">
              <w:rPr>
                <w:sz w:val="22"/>
                <w:szCs w:val="22"/>
              </w:rPr>
              <w:t xml:space="preserve"> </w:t>
            </w:r>
            <w:r w:rsidR="00E17FE3" w:rsidRPr="00E17FE3">
              <w:rPr>
                <w:sz w:val="22"/>
                <w:szCs w:val="22"/>
              </w:rPr>
              <w:t>Transformation</w:t>
            </w:r>
            <w:r w:rsidR="004A2252" w:rsidRPr="00E17FE3">
              <w:rPr>
                <w:sz w:val="22"/>
                <w:szCs w:val="22"/>
              </w:rPr>
              <w:t xml:space="preserve"> </w:t>
            </w:r>
            <w:r w:rsidR="00E17FE3" w:rsidRPr="00E17FE3">
              <w:rPr>
                <w:sz w:val="22"/>
                <w:szCs w:val="22"/>
              </w:rPr>
              <w:t>Programme</w:t>
            </w:r>
            <w:r w:rsidR="004A2252" w:rsidRPr="00E17FE3">
              <w:rPr>
                <w:sz w:val="22"/>
                <w:szCs w:val="22"/>
              </w:rPr>
              <w:t xml:space="preserve"> </w:t>
            </w:r>
            <w:r w:rsidRPr="00E17FE3">
              <w:rPr>
                <w:sz w:val="22"/>
                <w:szCs w:val="22"/>
              </w:rPr>
              <w:t xml:space="preserve">to identify savings to bridge the </w:t>
            </w:r>
            <w:r w:rsidR="004A2252" w:rsidRPr="00E17FE3">
              <w:rPr>
                <w:sz w:val="22"/>
                <w:szCs w:val="22"/>
              </w:rPr>
              <w:t xml:space="preserve">current core deficit and future budget gap in order to deliver an affordable and sustainable </w:t>
            </w:r>
            <w:r w:rsidRPr="00E17FE3">
              <w:rPr>
                <w:sz w:val="22"/>
                <w:szCs w:val="22"/>
              </w:rPr>
              <w:t>mediu</w:t>
            </w:r>
            <w:r w:rsidR="004A2252" w:rsidRPr="00E17FE3">
              <w:rPr>
                <w:sz w:val="22"/>
                <w:szCs w:val="22"/>
              </w:rPr>
              <w:t>m term financial plan</w:t>
            </w:r>
            <w:r w:rsidRPr="00E17FE3">
              <w:rPr>
                <w:sz w:val="22"/>
                <w:szCs w:val="22"/>
              </w:rPr>
              <w:t>.</w:t>
            </w:r>
          </w:p>
          <w:p w14:paraId="6E2FDFE0" w14:textId="6D1F5F39" w:rsidR="0065440E" w:rsidRPr="004514EF" w:rsidRDefault="0011133B" w:rsidP="004514EF">
            <w:pPr>
              <w:pStyle w:val="ListParagraph"/>
              <w:numPr>
                <w:ilvl w:val="0"/>
                <w:numId w:val="7"/>
              </w:numPr>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E17FE3">
              <w:rPr>
                <w:sz w:val="22"/>
                <w:szCs w:val="22"/>
              </w:rPr>
              <w:t>A moratorium on engagement of Agency Staff for most Services, un</w:t>
            </w:r>
            <w:r w:rsidR="004A2252" w:rsidRPr="00E17FE3">
              <w:rPr>
                <w:sz w:val="22"/>
                <w:szCs w:val="22"/>
              </w:rPr>
              <w:t>less approved by Chief Officers</w:t>
            </w:r>
            <w:r w:rsidRPr="00E17FE3">
              <w:rPr>
                <w:sz w:val="22"/>
                <w:szCs w:val="22"/>
              </w:rPr>
              <w:t>.</w:t>
            </w:r>
          </w:p>
        </w:tc>
      </w:tr>
      <w:tr w:rsidR="00F74799" w:rsidRPr="00663F5E" w14:paraId="6D7F14A6" w14:textId="77777777" w:rsidTr="004514EF">
        <w:trPr>
          <w:trHeight w:val="2141"/>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4EA0CF11" w14:textId="14F7D85A" w:rsidR="00F74799" w:rsidRPr="00FC208D" w:rsidRDefault="00F74799" w:rsidP="00F74799">
            <w:pPr>
              <w:overflowPunct/>
              <w:autoSpaceDE/>
              <w:autoSpaceDN/>
              <w:adjustRightInd/>
              <w:spacing w:after="0"/>
              <w:jc w:val="both"/>
              <w:textAlignment w:val="auto"/>
              <w:rPr>
                <w:rFonts w:cs="Arial"/>
                <w:b w:val="0"/>
                <w:color w:val="000000"/>
                <w:sz w:val="22"/>
                <w:szCs w:val="22"/>
                <w:lang w:eastAsia="en-GB"/>
              </w:rPr>
            </w:pPr>
            <w:r w:rsidRPr="00FC208D">
              <w:rPr>
                <w:rFonts w:cs="Arial"/>
                <w:b w:val="0"/>
                <w:color w:val="000000"/>
                <w:sz w:val="22"/>
                <w:szCs w:val="22"/>
                <w:lang w:eastAsia="en-GB"/>
              </w:rPr>
              <w:t>LBC0098</w:t>
            </w:r>
          </w:p>
        </w:tc>
        <w:tc>
          <w:tcPr>
            <w:tcW w:w="3533" w:type="dxa"/>
            <w:shd w:val="clear" w:color="auto" w:fill="auto"/>
          </w:tcPr>
          <w:p w14:paraId="0A34AF32" w14:textId="4D624305" w:rsidR="00F74799" w:rsidRPr="00FC208D" w:rsidRDefault="00F74799" w:rsidP="00F74799">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C208D">
              <w:rPr>
                <w:rFonts w:cs="Arial"/>
                <w:color w:val="000000"/>
                <w:sz w:val="22"/>
                <w:szCs w:val="22"/>
                <w:lang w:eastAsia="en-GB"/>
              </w:rPr>
              <w:t xml:space="preserve">As a result of a cyber-attack (e.g. ransomware) Council data is ex-filtrated by criminals, and confidential data is published.  </w:t>
            </w:r>
          </w:p>
        </w:tc>
        <w:tc>
          <w:tcPr>
            <w:tcW w:w="3935" w:type="dxa"/>
            <w:tcBorders>
              <w:top w:val="single" w:sz="4" w:space="0" w:color="auto"/>
              <w:bottom w:val="single" w:sz="4" w:space="0" w:color="auto"/>
            </w:tcBorders>
            <w:shd w:val="clear" w:color="auto" w:fill="auto"/>
          </w:tcPr>
          <w:p w14:paraId="76E595AF" w14:textId="6C86FE9D" w:rsidR="00F74799" w:rsidRPr="00FC208D" w:rsidRDefault="00F74799" w:rsidP="00F7479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C208D">
              <w:rPr>
                <w:rFonts w:cs="Arial"/>
                <w:sz w:val="22"/>
                <w:szCs w:val="22"/>
              </w:rPr>
              <w:t>Medium-Low Priority Risk.</w:t>
            </w:r>
          </w:p>
          <w:p w14:paraId="11E2C42D" w14:textId="77777777" w:rsidR="00F74799" w:rsidRPr="00FC208D" w:rsidRDefault="00F74799" w:rsidP="00F7479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4DB203E9" w14:textId="656148A9" w:rsidR="00F74799" w:rsidRDefault="00F74799" w:rsidP="00F7479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C208D">
              <w:rPr>
                <w:rFonts w:cs="Arial"/>
                <w:sz w:val="22"/>
                <w:szCs w:val="22"/>
              </w:rPr>
              <w:t>Implementation of Cyber Security Strategy.</w:t>
            </w:r>
          </w:p>
          <w:p w14:paraId="602D66C4" w14:textId="48CC5235" w:rsidR="003512A6" w:rsidRDefault="003512A6" w:rsidP="00F7479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2231D9D9" w14:textId="4FDDFE5C" w:rsidR="00F74799" w:rsidRPr="00FC208D" w:rsidRDefault="003512A6" w:rsidP="004514E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51C4A">
              <w:rPr>
                <w:rFonts w:cs="Arial"/>
                <w:sz w:val="22"/>
                <w:szCs w:val="22"/>
              </w:rPr>
              <w:t>The risk position around cyber is regularly monitored through the Information Security Board.</w:t>
            </w:r>
          </w:p>
        </w:tc>
      </w:tr>
    </w:tbl>
    <w:p w14:paraId="75729C63" w14:textId="77777777" w:rsidR="0065440E" w:rsidRPr="0065440E" w:rsidRDefault="0065440E" w:rsidP="00D60D76">
      <w:pPr>
        <w:pStyle w:val="ListParagraph"/>
        <w:spacing w:after="0"/>
        <w:ind w:left="709"/>
        <w:jc w:val="both"/>
      </w:pPr>
    </w:p>
    <w:p w14:paraId="10F18510" w14:textId="53B43BF6" w:rsidR="00640750" w:rsidRPr="00151C4A" w:rsidRDefault="00640750" w:rsidP="00F74799">
      <w:pPr>
        <w:pStyle w:val="ListParagraph"/>
        <w:numPr>
          <w:ilvl w:val="0"/>
          <w:numId w:val="2"/>
        </w:numPr>
        <w:ind w:left="709" w:hanging="709"/>
        <w:jc w:val="both"/>
      </w:pPr>
      <w:r w:rsidRPr="00151C4A">
        <w:t xml:space="preserve">At the time of </w:t>
      </w:r>
      <w:r w:rsidR="00340683" w:rsidRPr="00151C4A">
        <w:t>comparison,</w:t>
      </w:r>
      <w:r w:rsidRPr="00151C4A">
        <w:t xml:space="preserve"> </w:t>
      </w:r>
      <w:r w:rsidR="00340683" w:rsidRPr="00151C4A">
        <w:t>there was no corporate risk on misinformation and disinformation</w:t>
      </w:r>
      <w:r w:rsidR="00F74799" w:rsidRPr="00151C4A">
        <w:t xml:space="preserve">.  As this is seen as </w:t>
      </w:r>
      <w:r w:rsidR="008C66AF" w:rsidRPr="00151C4A">
        <w:t xml:space="preserve">a major area of concern for 2024 and </w:t>
      </w:r>
      <w:r w:rsidR="00F74799" w:rsidRPr="00151C4A">
        <w:t xml:space="preserve">the most severe global risk emerging in the next 2 years </w:t>
      </w:r>
      <w:r w:rsidRPr="00151C4A">
        <w:t>the following new risk has been added to the Corporate Risk Register.</w:t>
      </w:r>
      <w:r w:rsidR="00340683" w:rsidRPr="00151C4A">
        <w:t xml:space="preserve">  This risk will continue to be </w:t>
      </w:r>
      <w:r w:rsidR="00D60D76" w:rsidRPr="00151C4A">
        <w:t xml:space="preserve">reviewed </w:t>
      </w:r>
      <w:r w:rsidR="00340683" w:rsidRPr="00151C4A">
        <w:t>and monitored</w:t>
      </w:r>
      <w:r w:rsidR="002E246D">
        <w:t>, as the risk likelihood is expected to grow</w:t>
      </w:r>
      <w:r w:rsidR="00340683" w:rsidRPr="00151C4A">
        <w:t xml:space="preserve">. </w:t>
      </w:r>
    </w:p>
    <w:p w14:paraId="676872BC" w14:textId="5A161E4B" w:rsidR="00640750" w:rsidRDefault="00640750" w:rsidP="00D60D76">
      <w:pPr>
        <w:pStyle w:val="ListParagraph"/>
        <w:spacing w:after="0"/>
        <w:ind w:left="709"/>
        <w:jc w:val="both"/>
      </w:pPr>
    </w:p>
    <w:tbl>
      <w:tblPr>
        <w:tblStyle w:val="TableGrid"/>
        <w:tblW w:w="8500" w:type="dxa"/>
        <w:tblInd w:w="709" w:type="dxa"/>
        <w:tblLook w:val="04A0" w:firstRow="1" w:lastRow="0" w:firstColumn="1" w:lastColumn="0" w:noHBand="0" w:noVBand="1"/>
      </w:tblPr>
      <w:tblGrid>
        <w:gridCol w:w="1032"/>
        <w:gridCol w:w="3499"/>
        <w:gridCol w:w="3969"/>
      </w:tblGrid>
      <w:tr w:rsidR="00640750" w:rsidRPr="00151C4A" w14:paraId="4F603B9B" w14:textId="77777777" w:rsidTr="003406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2" w:type="dxa"/>
            <w:tcBorders>
              <w:bottom w:val="single" w:sz="4" w:space="0" w:color="auto"/>
            </w:tcBorders>
            <w:shd w:val="clear" w:color="auto" w:fill="D9D9D9" w:themeFill="background1" w:themeFillShade="D9"/>
          </w:tcPr>
          <w:p w14:paraId="7BCBB7F9" w14:textId="77777777" w:rsidR="00640750" w:rsidRPr="00151C4A" w:rsidRDefault="00640750" w:rsidP="00DB5726">
            <w:pPr>
              <w:overflowPunct/>
              <w:autoSpaceDE/>
              <w:autoSpaceDN/>
              <w:adjustRightInd/>
              <w:spacing w:after="0"/>
              <w:textAlignment w:val="auto"/>
              <w:rPr>
                <w:rFonts w:cs="Arial"/>
                <w:b/>
                <w:sz w:val="22"/>
                <w:szCs w:val="22"/>
              </w:rPr>
            </w:pPr>
            <w:r w:rsidRPr="00151C4A">
              <w:rPr>
                <w:rFonts w:cs="Arial"/>
                <w:b/>
                <w:sz w:val="22"/>
                <w:szCs w:val="22"/>
              </w:rPr>
              <w:t>Risk ref</w:t>
            </w:r>
          </w:p>
        </w:tc>
        <w:tc>
          <w:tcPr>
            <w:tcW w:w="3499" w:type="dxa"/>
            <w:tcBorders>
              <w:bottom w:val="single" w:sz="4" w:space="0" w:color="auto"/>
            </w:tcBorders>
            <w:shd w:val="clear" w:color="auto" w:fill="D9D9D9" w:themeFill="background1" w:themeFillShade="D9"/>
          </w:tcPr>
          <w:p w14:paraId="515DD3AD" w14:textId="77777777" w:rsidR="00640750" w:rsidRPr="00151C4A" w:rsidRDefault="00640750" w:rsidP="00DB5726">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51C4A">
              <w:rPr>
                <w:rFonts w:cs="Arial"/>
                <w:b/>
                <w:sz w:val="22"/>
                <w:szCs w:val="22"/>
              </w:rPr>
              <w:t>Risk details</w:t>
            </w:r>
          </w:p>
        </w:tc>
        <w:tc>
          <w:tcPr>
            <w:tcW w:w="3969" w:type="dxa"/>
            <w:tcBorders>
              <w:bottom w:val="single" w:sz="4" w:space="0" w:color="auto"/>
            </w:tcBorders>
            <w:shd w:val="clear" w:color="auto" w:fill="D9D9D9" w:themeFill="background1" w:themeFillShade="D9"/>
          </w:tcPr>
          <w:p w14:paraId="178E7662" w14:textId="08C9B583" w:rsidR="00640750" w:rsidRPr="00151C4A" w:rsidRDefault="00640750" w:rsidP="00DB5726">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51C4A">
              <w:rPr>
                <w:rFonts w:cs="Arial"/>
                <w:b/>
                <w:sz w:val="22"/>
                <w:szCs w:val="22"/>
              </w:rPr>
              <w:t>Control measure update</w:t>
            </w:r>
          </w:p>
        </w:tc>
      </w:tr>
      <w:tr w:rsidR="00640750" w:rsidRPr="00DC2E71" w14:paraId="7BE3F58F" w14:textId="77777777" w:rsidTr="004514EF">
        <w:trPr>
          <w:trHeight w:val="1121"/>
        </w:trPr>
        <w:tc>
          <w:tcPr>
            <w:cnfStyle w:val="001000000000" w:firstRow="0" w:lastRow="0" w:firstColumn="1" w:lastColumn="0" w:oddVBand="0" w:evenVBand="0" w:oddHBand="0" w:evenHBand="0" w:firstRowFirstColumn="0" w:firstRowLastColumn="0" w:lastRowFirstColumn="0" w:lastRowLastColumn="0"/>
            <w:tcW w:w="1032" w:type="dxa"/>
            <w:tcBorders>
              <w:top w:val="single" w:sz="4" w:space="0" w:color="auto"/>
              <w:bottom w:val="single" w:sz="4" w:space="0" w:color="auto"/>
            </w:tcBorders>
          </w:tcPr>
          <w:p w14:paraId="39DB9761" w14:textId="10E338C4" w:rsidR="00640750" w:rsidRPr="00151C4A" w:rsidRDefault="00640750" w:rsidP="00DB5726">
            <w:pPr>
              <w:overflowPunct/>
              <w:autoSpaceDE/>
              <w:autoSpaceDN/>
              <w:adjustRightInd/>
              <w:spacing w:after="0"/>
              <w:jc w:val="both"/>
              <w:textAlignment w:val="auto"/>
              <w:rPr>
                <w:rFonts w:cs="Arial"/>
                <w:b w:val="0"/>
                <w:sz w:val="22"/>
                <w:szCs w:val="22"/>
              </w:rPr>
            </w:pPr>
            <w:r w:rsidRPr="00151C4A">
              <w:rPr>
                <w:rFonts w:cs="Arial"/>
                <w:b w:val="0"/>
                <w:sz w:val="22"/>
                <w:szCs w:val="22"/>
              </w:rPr>
              <w:t>LBC0102</w:t>
            </w:r>
          </w:p>
        </w:tc>
        <w:tc>
          <w:tcPr>
            <w:tcW w:w="3499" w:type="dxa"/>
            <w:shd w:val="clear" w:color="auto" w:fill="auto"/>
          </w:tcPr>
          <w:p w14:paraId="344CF4FB" w14:textId="5E0D0C13"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51C4A">
              <w:rPr>
                <w:rFonts w:cs="Arial"/>
                <w:sz w:val="22"/>
                <w:szCs w:val="22"/>
              </w:rPr>
              <w:t>Misinformation / Disinformation through Fraudulent Impersonation.</w:t>
            </w:r>
          </w:p>
          <w:p w14:paraId="075F23CB" w14:textId="77777777"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4AECED76" w14:textId="77777777" w:rsidR="00340683"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 xml:space="preserve">Inherent Risk Score = 6 </w:t>
            </w:r>
          </w:p>
          <w:p w14:paraId="67ECD7B8" w14:textId="699D19A0"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(Medium-High)</w:t>
            </w:r>
          </w:p>
          <w:p w14:paraId="041C97CC" w14:textId="77777777"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(Likelihood 2 x Consequences 3)</w:t>
            </w:r>
          </w:p>
          <w:p w14:paraId="57F81A71" w14:textId="77777777"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p>
          <w:p w14:paraId="0D9FA340" w14:textId="77777777" w:rsidR="00340683"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 xml:space="preserve">Residual Risk Score = 4 </w:t>
            </w:r>
          </w:p>
          <w:p w14:paraId="641B36C4" w14:textId="7E5E95A4" w:rsidR="00640750"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(Medium-Low)</w:t>
            </w:r>
          </w:p>
          <w:p w14:paraId="384B378F" w14:textId="30CB1285" w:rsidR="00340683" w:rsidRPr="00151C4A" w:rsidRDefault="00640750" w:rsidP="006407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(Likelihood 2 x Consequences 2)</w:t>
            </w:r>
          </w:p>
        </w:tc>
        <w:tc>
          <w:tcPr>
            <w:tcW w:w="3969" w:type="dxa"/>
            <w:shd w:val="clear" w:color="auto" w:fill="auto"/>
          </w:tcPr>
          <w:p w14:paraId="14B19669" w14:textId="3B7529CB" w:rsidR="00640750" w:rsidRPr="00DC2E71" w:rsidRDefault="00340683" w:rsidP="00DB5726">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51C4A">
              <w:rPr>
                <w:rFonts w:cs="Arial"/>
                <w:sz w:val="22"/>
                <w:szCs w:val="22"/>
              </w:rPr>
              <w:t xml:space="preserve">New risk </w:t>
            </w:r>
            <w:r w:rsidR="00E4317C" w:rsidRPr="00151C4A">
              <w:rPr>
                <w:rFonts w:cs="Arial"/>
                <w:sz w:val="22"/>
                <w:szCs w:val="22"/>
              </w:rPr>
              <w:t xml:space="preserve">identified through Horizon Scanning </w:t>
            </w:r>
            <w:r w:rsidRPr="00151C4A">
              <w:rPr>
                <w:rFonts w:cs="Arial"/>
                <w:sz w:val="22"/>
                <w:szCs w:val="22"/>
              </w:rPr>
              <w:t xml:space="preserve">– </w:t>
            </w:r>
            <w:r w:rsidR="00640750" w:rsidRPr="00151C4A">
              <w:rPr>
                <w:rFonts w:cs="Arial"/>
                <w:sz w:val="22"/>
                <w:szCs w:val="22"/>
              </w:rPr>
              <w:t>monitoring the situation as the risk likelihood is expected to grow</w:t>
            </w:r>
            <w:r w:rsidRPr="00151C4A">
              <w:rPr>
                <w:rFonts w:cs="Arial"/>
                <w:sz w:val="22"/>
                <w:szCs w:val="22"/>
              </w:rPr>
              <w:t>.</w:t>
            </w:r>
          </w:p>
        </w:tc>
      </w:tr>
    </w:tbl>
    <w:p w14:paraId="1D951823" w14:textId="77777777" w:rsidR="00640750" w:rsidRDefault="00640750" w:rsidP="00640750">
      <w:pPr>
        <w:pStyle w:val="ListParagraph"/>
        <w:ind w:left="709"/>
        <w:jc w:val="both"/>
      </w:pPr>
    </w:p>
    <w:p w14:paraId="3C736EA6" w14:textId="5B1DAEA9" w:rsidR="00FB1FCB" w:rsidRDefault="00D84001" w:rsidP="00FB1FCB">
      <w:pPr>
        <w:pStyle w:val="ListParagraph"/>
        <w:numPr>
          <w:ilvl w:val="0"/>
          <w:numId w:val="2"/>
        </w:numPr>
        <w:ind w:left="709" w:hanging="709"/>
        <w:jc w:val="both"/>
      </w:pPr>
      <w:r>
        <w:t>T</w:t>
      </w:r>
      <w:r w:rsidR="00F0645F">
        <w:t xml:space="preserve">he committee </w:t>
      </w:r>
      <w:r>
        <w:t xml:space="preserve">is </w:t>
      </w:r>
      <w:r w:rsidR="00F0645F">
        <w:t>recommended to consid</w:t>
      </w:r>
      <w:r w:rsidR="00F0645F" w:rsidRPr="00F0645F">
        <w:t>er the findings from the World Economic Forum on current and emerging global risks</w:t>
      </w:r>
      <w:r w:rsidR="00F0645F">
        <w:t>; and how the</w:t>
      </w:r>
      <w:r w:rsidR="00E426C8">
        <w:t xml:space="preserve">se </w:t>
      </w:r>
      <w:r w:rsidR="00F0645F">
        <w:t xml:space="preserve">align with the </w:t>
      </w:r>
      <w:r w:rsidR="00E426C8">
        <w:t xml:space="preserve">risks currently reported within the </w:t>
      </w:r>
      <w:r w:rsidR="00F0645F">
        <w:t>Corporate Risk</w:t>
      </w:r>
      <w:r w:rsidR="00E426C8">
        <w:t xml:space="preserve"> Register</w:t>
      </w:r>
      <w:r w:rsidR="00CF2A49">
        <w:t xml:space="preserve"> (attached at Appendix B</w:t>
      </w:r>
      <w:r w:rsidR="00FB1FCB">
        <w:t>).</w:t>
      </w:r>
    </w:p>
    <w:p w14:paraId="5521F226" w14:textId="77777777" w:rsidR="00BD5DE3" w:rsidRDefault="00BD5DE3" w:rsidP="00BD5DE3">
      <w:pPr>
        <w:pStyle w:val="ListParagraph"/>
      </w:pPr>
    </w:p>
    <w:p w14:paraId="505E8505" w14:textId="6FF0B79F" w:rsidR="00BD5DE3" w:rsidRPr="0018127E" w:rsidRDefault="0018127E" w:rsidP="00BD5DE3">
      <w:pPr>
        <w:pStyle w:val="ListParagraph"/>
        <w:ind w:left="709"/>
        <w:jc w:val="both"/>
        <w:rPr>
          <w:b/>
        </w:rPr>
      </w:pPr>
      <w:r>
        <w:rPr>
          <w:b/>
        </w:rPr>
        <w:t>Risk Appetite Statement</w:t>
      </w:r>
    </w:p>
    <w:p w14:paraId="1418C55F" w14:textId="77777777" w:rsidR="00F74799" w:rsidRDefault="00F74799" w:rsidP="00F74799">
      <w:pPr>
        <w:pStyle w:val="ListParagraph"/>
      </w:pPr>
    </w:p>
    <w:p w14:paraId="1083F9D7" w14:textId="77777777" w:rsidR="0018127E" w:rsidRDefault="0018127E" w:rsidP="0018127E">
      <w:pPr>
        <w:pStyle w:val="ListParagraph"/>
        <w:numPr>
          <w:ilvl w:val="0"/>
          <w:numId w:val="2"/>
        </w:numPr>
        <w:spacing w:after="0"/>
        <w:ind w:left="709" w:hanging="709"/>
        <w:jc w:val="both"/>
      </w:pPr>
      <w:r w:rsidRPr="00C66F4F">
        <w:t>The effective management of risks is an essential part of good corporate governance.</w:t>
      </w:r>
      <w:r>
        <w:t xml:space="preserve">  </w:t>
      </w:r>
      <w:r w:rsidRPr="00F4667C">
        <w:t>For a risk management process to be effective it is important that an organisation has clearly defined its risk appetite and the level of risk / type of risk it is willing to take in order to achieve its objectives.</w:t>
      </w:r>
    </w:p>
    <w:p w14:paraId="53A75BD7" w14:textId="77777777" w:rsidR="0018127E" w:rsidRDefault="0018127E" w:rsidP="0018127E">
      <w:pPr>
        <w:pStyle w:val="ListParagraph"/>
        <w:spacing w:after="0"/>
        <w:ind w:left="709"/>
        <w:jc w:val="both"/>
      </w:pPr>
    </w:p>
    <w:p w14:paraId="701DC78F" w14:textId="3214665A" w:rsidR="0018127E" w:rsidRPr="00F4667C" w:rsidRDefault="0018127E" w:rsidP="0018127E">
      <w:pPr>
        <w:pStyle w:val="ListParagraph"/>
        <w:numPr>
          <w:ilvl w:val="0"/>
          <w:numId w:val="2"/>
        </w:numPr>
        <w:spacing w:after="0"/>
        <w:ind w:left="709" w:hanging="709"/>
        <w:jc w:val="both"/>
      </w:pPr>
      <w:r w:rsidRPr="00F4667C">
        <w:t>A well-defined risk appetite statement would:</w:t>
      </w:r>
    </w:p>
    <w:p w14:paraId="417DA393" w14:textId="0953E2C2" w:rsidR="0018127E" w:rsidRPr="00F4667C" w:rsidRDefault="0018127E" w:rsidP="0018127E">
      <w:pPr>
        <w:pStyle w:val="ListParagraph"/>
        <w:numPr>
          <w:ilvl w:val="0"/>
          <w:numId w:val="14"/>
        </w:numPr>
        <w:jc w:val="both"/>
      </w:pPr>
      <w:r w:rsidRPr="00F4667C">
        <w:t xml:space="preserve">Provide clear and consistent guidance, and assurance to Members and the public that the council is </w:t>
      </w:r>
      <w:r>
        <w:t>aware of and managing its risks.</w:t>
      </w:r>
    </w:p>
    <w:p w14:paraId="0BF9042A" w14:textId="7AA117DB" w:rsidR="0018127E" w:rsidRPr="00F4667C" w:rsidRDefault="0018127E" w:rsidP="0018127E">
      <w:pPr>
        <w:pStyle w:val="ListParagraph"/>
        <w:numPr>
          <w:ilvl w:val="0"/>
          <w:numId w:val="14"/>
        </w:numPr>
        <w:jc w:val="both"/>
      </w:pPr>
      <w:r w:rsidRPr="00F4667C">
        <w:t>As</w:t>
      </w:r>
      <w:r>
        <w:t>sist to make informed decisions.</w:t>
      </w:r>
    </w:p>
    <w:p w14:paraId="6B2176DA" w14:textId="6F4BDCD3" w:rsidR="0018127E" w:rsidRPr="00F4667C" w:rsidRDefault="0018127E" w:rsidP="0018127E">
      <w:pPr>
        <w:pStyle w:val="ListParagraph"/>
        <w:numPr>
          <w:ilvl w:val="0"/>
          <w:numId w:val="14"/>
        </w:numPr>
        <w:jc w:val="both"/>
      </w:pPr>
      <w:r w:rsidRPr="00F4667C">
        <w:t>Identify resources being deployed on risks that we are prepared to tolerate and re-focus them on risks that</w:t>
      </w:r>
      <w:r>
        <w:t xml:space="preserve"> are more business critical.</w:t>
      </w:r>
    </w:p>
    <w:p w14:paraId="7DD980DA" w14:textId="5D770207" w:rsidR="0018127E" w:rsidRDefault="0018127E" w:rsidP="0018127E">
      <w:pPr>
        <w:pStyle w:val="ListParagraph"/>
        <w:numPr>
          <w:ilvl w:val="0"/>
          <w:numId w:val="14"/>
        </w:numPr>
        <w:jc w:val="both"/>
      </w:pPr>
      <w:r w:rsidRPr="00F4667C">
        <w:t>Define the thresholds above which risks should be escalated and monitored more fr</w:t>
      </w:r>
      <w:r>
        <w:t>equently.</w:t>
      </w:r>
    </w:p>
    <w:p w14:paraId="39959C43" w14:textId="77777777" w:rsidR="0018127E" w:rsidRDefault="0018127E" w:rsidP="0018127E">
      <w:pPr>
        <w:pStyle w:val="ListParagraph"/>
        <w:ind w:left="1080"/>
        <w:jc w:val="both"/>
      </w:pPr>
    </w:p>
    <w:p w14:paraId="2FDC25E4" w14:textId="23BB935C" w:rsidR="0018127E" w:rsidRDefault="0018127E" w:rsidP="0018127E">
      <w:pPr>
        <w:pStyle w:val="ListParagraph"/>
        <w:numPr>
          <w:ilvl w:val="0"/>
          <w:numId w:val="2"/>
        </w:numPr>
        <w:spacing w:after="0"/>
        <w:ind w:left="709" w:hanging="709"/>
        <w:jc w:val="both"/>
      </w:pPr>
      <w:r>
        <w:t>In June 2022, Zurich Municipal (ZM) were c</w:t>
      </w:r>
      <w:r w:rsidRPr="00F4667C">
        <w:t>ommissioned to assist the council to develop and expand its risk appetite statement.</w:t>
      </w:r>
      <w:r>
        <w:t xml:space="preserve">  ZM engaged with Senior Officers and Members for their views on risk via a survey and workshop in order to develop the council’s risk appetite statement.  They explored nine categories of risk in the acknowledgement that there will be different attitudes to what risk is.  This subsequently led to the development of the following risk appetite statements for each category of risk; and an overall risk appetite statement.</w:t>
      </w:r>
    </w:p>
    <w:p w14:paraId="2BA6657C" w14:textId="77777777" w:rsidR="0018127E" w:rsidRDefault="0018127E" w:rsidP="0018127E">
      <w:pPr>
        <w:pStyle w:val="ListParagraph"/>
        <w:ind w:left="709"/>
        <w:jc w:val="both"/>
      </w:pPr>
    </w:p>
    <w:p w14:paraId="29900EBB" w14:textId="02412AE3" w:rsidR="0018127E" w:rsidRPr="0018127E" w:rsidRDefault="0018127E" w:rsidP="0018127E">
      <w:pPr>
        <w:pStyle w:val="ListParagraph"/>
        <w:ind w:left="709"/>
        <w:jc w:val="both"/>
        <w:rPr>
          <w:i/>
        </w:rPr>
      </w:pPr>
      <w:r w:rsidRPr="0018127E">
        <w:rPr>
          <w:i/>
        </w:rPr>
        <w:t>Risk Appetite by Category:</w:t>
      </w:r>
    </w:p>
    <w:p w14:paraId="1691D6C1" w14:textId="77777777" w:rsidR="0018127E" w:rsidRPr="00984121" w:rsidRDefault="0018127E" w:rsidP="0018127E">
      <w:pPr>
        <w:pStyle w:val="ListParagraph"/>
        <w:ind w:left="709"/>
        <w:jc w:val="both"/>
        <w:rPr>
          <w:b/>
          <w:sz w:val="16"/>
          <w:szCs w:val="16"/>
        </w:rPr>
      </w:pPr>
    </w:p>
    <w:tbl>
      <w:tblPr>
        <w:tblStyle w:val="TableGrid"/>
        <w:tblW w:w="0" w:type="auto"/>
        <w:tblInd w:w="709" w:type="dxa"/>
        <w:tblLook w:val="04A0" w:firstRow="1" w:lastRow="0" w:firstColumn="1" w:lastColumn="0" w:noHBand="0" w:noVBand="1"/>
      </w:tblPr>
      <w:tblGrid>
        <w:gridCol w:w="1838"/>
        <w:gridCol w:w="1559"/>
        <w:gridCol w:w="5076"/>
      </w:tblGrid>
      <w:tr w:rsidR="0018127E" w14:paraId="3B073474" w14:textId="77777777" w:rsidTr="0018127E">
        <w:trPr>
          <w:cnfStyle w:val="100000000000" w:firstRow="1" w:lastRow="0" w:firstColumn="0" w:lastColumn="0" w:oddVBand="0" w:evenVBand="0" w:oddHBand="0" w:evenHBand="0" w:firstRowFirstColumn="0" w:firstRowLastColumn="0" w:lastRowFirstColumn="0" w:lastRowLastColumn="0"/>
          <w:trHeight w:val="251"/>
          <w:tblHeader/>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D9D9D9" w:themeFill="background1" w:themeFillShade="D9"/>
          </w:tcPr>
          <w:p w14:paraId="73E87424" w14:textId="77777777" w:rsidR="0018127E" w:rsidRPr="00ED60B5" w:rsidRDefault="0018127E" w:rsidP="0018127E">
            <w:pPr>
              <w:pStyle w:val="ListParagraph"/>
              <w:spacing w:after="0"/>
              <w:ind w:left="0"/>
              <w:rPr>
                <w:b/>
                <w:sz w:val="22"/>
                <w:szCs w:val="22"/>
              </w:rPr>
            </w:pPr>
            <w:r w:rsidRPr="00ED60B5">
              <w:rPr>
                <w:b/>
                <w:sz w:val="22"/>
                <w:szCs w:val="22"/>
              </w:rPr>
              <w:t>Risk Category</w:t>
            </w:r>
          </w:p>
        </w:tc>
        <w:tc>
          <w:tcPr>
            <w:tcW w:w="1559" w:type="dxa"/>
            <w:tcBorders>
              <w:bottom w:val="single" w:sz="4" w:space="0" w:color="auto"/>
            </w:tcBorders>
            <w:shd w:val="clear" w:color="auto" w:fill="D9D9D9" w:themeFill="background1" w:themeFillShade="D9"/>
          </w:tcPr>
          <w:p w14:paraId="37BC749A" w14:textId="77777777" w:rsidR="0018127E" w:rsidRPr="00ED60B5" w:rsidRDefault="0018127E" w:rsidP="0018127E">
            <w:pPr>
              <w:pStyle w:val="ListParagraph"/>
              <w:spacing w:after="0"/>
              <w:ind w:left="0"/>
              <w:cnfStyle w:val="100000000000" w:firstRow="1" w:lastRow="0" w:firstColumn="0" w:lastColumn="0" w:oddVBand="0" w:evenVBand="0" w:oddHBand="0" w:evenHBand="0" w:firstRowFirstColumn="0" w:firstRowLastColumn="0" w:lastRowFirstColumn="0" w:lastRowLastColumn="0"/>
              <w:rPr>
                <w:b/>
                <w:sz w:val="22"/>
                <w:szCs w:val="22"/>
              </w:rPr>
            </w:pPr>
            <w:r w:rsidRPr="00ED60B5">
              <w:rPr>
                <w:b/>
                <w:sz w:val="22"/>
                <w:szCs w:val="22"/>
              </w:rPr>
              <w:t>Risk Appetite</w:t>
            </w:r>
          </w:p>
        </w:tc>
        <w:tc>
          <w:tcPr>
            <w:tcW w:w="5076" w:type="dxa"/>
            <w:tcBorders>
              <w:bottom w:val="single" w:sz="4" w:space="0" w:color="auto"/>
            </w:tcBorders>
            <w:shd w:val="clear" w:color="auto" w:fill="D9D9D9" w:themeFill="background1" w:themeFillShade="D9"/>
          </w:tcPr>
          <w:p w14:paraId="53D20499" w14:textId="77777777" w:rsidR="0018127E" w:rsidRPr="00ED60B5" w:rsidRDefault="0018127E" w:rsidP="0018127E">
            <w:pPr>
              <w:pStyle w:val="ListParagraph"/>
              <w:spacing w:after="0"/>
              <w:ind w:left="0"/>
              <w:cnfStyle w:val="100000000000" w:firstRow="1" w:lastRow="0" w:firstColumn="0" w:lastColumn="0" w:oddVBand="0" w:evenVBand="0" w:oddHBand="0" w:evenHBand="0" w:firstRowFirstColumn="0" w:firstRowLastColumn="0" w:lastRowFirstColumn="0" w:lastRowLastColumn="0"/>
              <w:rPr>
                <w:b/>
                <w:sz w:val="22"/>
                <w:szCs w:val="22"/>
              </w:rPr>
            </w:pPr>
            <w:r w:rsidRPr="00ED60B5">
              <w:rPr>
                <w:b/>
                <w:sz w:val="22"/>
                <w:szCs w:val="22"/>
              </w:rPr>
              <w:t>Statement</w:t>
            </w:r>
          </w:p>
        </w:tc>
      </w:tr>
      <w:tr w:rsidR="0018127E" w14:paraId="54F2F9D7" w14:textId="77777777" w:rsidTr="00C212D8">
        <w:trPr>
          <w:trHeight w:val="1468"/>
        </w:trPr>
        <w:tc>
          <w:tcPr>
            <w:cnfStyle w:val="001000000000" w:firstRow="0" w:lastRow="0" w:firstColumn="1" w:lastColumn="0" w:oddVBand="0" w:evenVBand="0" w:oddHBand="0" w:evenHBand="0" w:firstRowFirstColumn="0" w:firstRowLastColumn="0" w:lastRowFirstColumn="0" w:lastRowLastColumn="0"/>
            <w:tcW w:w="1838" w:type="dxa"/>
          </w:tcPr>
          <w:p w14:paraId="1E741BF0" w14:textId="77777777" w:rsidR="0018127E" w:rsidRPr="00F63D1B" w:rsidRDefault="0018127E" w:rsidP="0018127E">
            <w:pPr>
              <w:pStyle w:val="ListParagraph"/>
              <w:spacing w:after="0"/>
              <w:ind w:left="0"/>
              <w:jc w:val="both"/>
              <w:rPr>
                <w:b w:val="0"/>
                <w:sz w:val="22"/>
                <w:szCs w:val="22"/>
              </w:rPr>
            </w:pPr>
            <w:r w:rsidRPr="00F63D1B">
              <w:rPr>
                <w:b w:val="0"/>
                <w:sz w:val="22"/>
                <w:szCs w:val="22"/>
              </w:rPr>
              <w:t>Political</w:t>
            </w:r>
          </w:p>
        </w:tc>
        <w:tc>
          <w:tcPr>
            <w:tcW w:w="1559" w:type="dxa"/>
            <w:shd w:val="clear" w:color="auto" w:fill="FF4413"/>
          </w:tcPr>
          <w:p w14:paraId="676078D6" w14:textId="77777777" w:rsidR="0018127E"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Open to Risk</w:t>
            </w:r>
          </w:p>
          <w:p w14:paraId="7B08A1D9"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 High)</w:t>
            </w:r>
          </w:p>
        </w:tc>
        <w:tc>
          <w:tcPr>
            <w:tcW w:w="5076" w:type="dxa"/>
          </w:tcPr>
          <w:p w14:paraId="1536088E"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F63D1B">
              <w:rPr>
                <w:sz w:val="22"/>
                <w:szCs w:val="22"/>
              </w:rPr>
              <w:t>With the context we’re in and to fulfil our ambitions, we are willing to push the</w:t>
            </w:r>
            <w:r>
              <w:rPr>
                <w:sz w:val="22"/>
                <w:szCs w:val="22"/>
              </w:rPr>
              <w:t xml:space="preserve"> </w:t>
            </w:r>
            <w:r w:rsidRPr="00F63D1B">
              <w:rPr>
                <w:sz w:val="22"/>
                <w:szCs w:val="22"/>
              </w:rPr>
              <w:t>boundaries of political risk in order to deliver exceptional results. Even if it puts</w:t>
            </w:r>
            <w:r>
              <w:rPr>
                <w:sz w:val="22"/>
                <w:szCs w:val="22"/>
              </w:rPr>
              <w:t xml:space="preserve"> </w:t>
            </w:r>
            <w:r w:rsidRPr="00F63D1B">
              <w:rPr>
                <w:sz w:val="22"/>
                <w:szCs w:val="22"/>
              </w:rPr>
              <w:t>a significant part of strategic or political objectives at risk, the potential gains</w:t>
            </w:r>
            <w:r>
              <w:rPr>
                <w:sz w:val="22"/>
                <w:szCs w:val="22"/>
              </w:rPr>
              <w:t xml:space="preserve"> </w:t>
            </w:r>
            <w:r w:rsidRPr="00F63D1B">
              <w:rPr>
                <w:sz w:val="22"/>
                <w:szCs w:val="22"/>
              </w:rPr>
              <w:t>outweigh any possible losses.</w:t>
            </w:r>
          </w:p>
        </w:tc>
      </w:tr>
      <w:tr w:rsidR="0018127E" w14:paraId="3F475E60"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0867872C" w14:textId="77777777" w:rsidR="0018127E" w:rsidRPr="00F63D1B" w:rsidRDefault="0018127E" w:rsidP="0018127E">
            <w:pPr>
              <w:pStyle w:val="ListParagraph"/>
              <w:spacing w:after="0"/>
              <w:ind w:left="0"/>
              <w:rPr>
                <w:b w:val="0"/>
                <w:sz w:val="22"/>
                <w:szCs w:val="22"/>
              </w:rPr>
            </w:pPr>
            <w:r>
              <w:rPr>
                <w:b w:val="0"/>
                <w:sz w:val="22"/>
                <w:szCs w:val="22"/>
              </w:rPr>
              <w:t>Economic / Financial</w:t>
            </w:r>
          </w:p>
        </w:tc>
        <w:tc>
          <w:tcPr>
            <w:tcW w:w="1559" w:type="dxa"/>
            <w:shd w:val="clear" w:color="auto" w:fill="FF4413"/>
          </w:tcPr>
          <w:p w14:paraId="06B96334"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Open to Risk</w:t>
            </w:r>
          </w:p>
          <w:p w14:paraId="111F688F"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High)</w:t>
            </w:r>
          </w:p>
        </w:tc>
        <w:tc>
          <w:tcPr>
            <w:tcW w:w="5076" w:type="dxa"/>
          </w:tcPr>
          <w:p w14:paraId="7CFADEEE"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will actively seek financial and economic investment and subsequent gains,</w:t>
            </w:r>
            <w:r>
              <w:rPr>
                <w:sz w:val="22"/>
                <w:szCs w:val="22"/>
              </w:rPr>
              <w:t xml:space="preserve"> </w:t>
            </w:r>
            <w:r w:rsidRPr="003162D6">
              <w:rPr>
                <w:sz w:val="22"/>
                <w:szCs w:val="22"/>
              </w:rPr>
              <w:t>even if we risk financial losses, where clear benefits can be evidenced. We must</w:t>
            </w:r>
            <w:r>
              <w:rPr>
                <w:sz w:val="22"/>
                <w:szCs w:val="22"/>
              </w:rPr>
              <w:t xml:space="preserve"> </w:t>
            </w:r>
            <w:r w:rsidRPr="003162D6">
              <w:rPr>
                <w:sz w:val="22"/>
                <w:szCs w:val="22"/>
              </w:rPr>
              <w:t>manage the risk to a tolerable level, but be unafraid to seek out opportunities.</w:t>
            </w:r>
          </w:p>
        </w:tc>
      </w:tr>
      <w:tr w:rsidR="0018127E" w14:paraId="1D86088C"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2FFC63EA" w14:textId="77777777" w:rsidR="0018127E" w:rsidRPr="00F63D1B" w:rsidRDefault="0018127E" w:rsidP="0018127E">
            <w:pPr>
              <w:pStyle w:val="ListParagraph"/>
              <w:spacing w:after="0"/>
              <w:ind w:left="0"/>
              <w:jc w:val="both"/>
              <w:rPr>
                <w:b w:val="0"/>
                <w:sz w:val="22"/>
                <w:szCs w:val="22"/>
              </w:rPr>
            </w:pPr>
            <w:r>
              <w:rPr>
                <w:b w:val="0"/>
                <w:sz w:val="22"/>
                <w:szCs w:val="22"/>
              </w:rPr>
              <w:t>Social</w:t>
            </w:r>
          </w:p>
        </w:tc>
        <w:tc>
          <w:tcPr>
            <w:tcW w:w="1559" w:type="dxa"/>
            <w:shd w:val="clear" w:color="auto" w:fill="FF4413"/>
          </w:tcPr>
          <w:p w14:paraId="0091D616"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Open to Risk</w:t>
            </w:r>
          </w:p>
          <w:p w14:paraId="75CEC7CE"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High)</w:t>
            </w:r>
          </w:p>
        </w:tc>
        <w:tc>
          <w:tcPr>
            <w:tcW w:w="5076" w:type="dxa"/>
          </w:tcPr>
          <w:p w14:paraId="18D4246C"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will accept some risk to the short-term resilience of the organisation and</w:t>
            </w:r>
            <w:r>
              <w:rPr>
                <w:sz w:val="22"/>
                <w:szCs w:val="22"/>
              </w:rPr>
              <w:t xml:space="preserve"> </w:t>
            </w:r>
            <w:r w:rsidRPr="003162D6">
              <w:rPr>
                <w:sz w:val="22"/>
                <w:szCs w:val="22"/>
              </w:rPr>
              <w:t>community, when longer term benefits are deemed to outweigh short term risk.</w:t>
            </w:r>
          </w:p>
        </w:tc>
      </w:tr>
      <w:tr w:rsidR="0018127E" w14:paraId="4855373B"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3A029703" w14:textId="77777777" w:rsidR="0018127E" w:rsidRPr="00F63D1B" w:rsidRDefault="0018127E" w:rsidP="0018127E">
            <w:pPr>
              <w:pStyle w:val="ListParagraph"/>
              <w:spacing w:after="0"/>
              <w:ind w:left="0"/>
              <w:jc w:val="both"/>
              <w:rPr>
                <w:b w:val="0"/>
                <w:sz w:val="22"/>
                <w:szCs w:val="22"/>
              </w:rPr>
            </w:pPr>
            <w:r>
              <w:rPr>
                <w:b w:val="0"/>
                <w:sz w:val="22"/>
                <w:szCs w:val="22"/>
              </w:rPr>
              <w:t>Technological</w:t>
            </w:r>
          </w:p>
        </w:tc>
        <w:tc>
          <w:tcPr>
            <w:tcW w:w="1559" w:type="dxa"/>
            <w:shd w:val="clear" w:color="auto" w:fill="FFFF66"/>
          </w:tcPr>
          <w:p w14:paraId="106811C1" w14:textId="77777777" w:rsidR="0018127E"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Cautious with Risk</w:t>
            </w:r>
          </w:p>
          <w:p w14:paraId="037DCD6B"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 Low)</w:t>
            </w:r>
          </w:p>
        </w:tc>
        <w:tc>
          <w:tcPr>
            <w:tcW w:w="5076" w:type="dxa"/>
          </w:tcPr>
          <w:p w14:paraId="0C3E2D1C"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want to ensure we have the technology to support people to deliver great</w:t>
            </w:r>
            <w:r>
              <w:rPr>
                <w:sz w:val="22"/>
                <w:szCs w:val="22"/>
              </w:rPr>
              <w:t xml:space="preserve"> </w:t>
            </w:r>
            <w:r w:rsidRPr="003162D6">
              <w:rPr>
                <w:sz w:val="22"/>
                <w:szCs w:val="22"/>
              </w:rPr>
              <w:t>services by taking a cautious approach to new systems. We will take every</w:t>
            </w:r>
            <w:r>
              <w:rPr>
                <w:sz w:val="22"/>
                <w:szCs w:val="22"/>
              </w:rPr>
              <w:t xml:space="preserve"> </w:t>
            </w:r>
            <w:r w:rsidRPr="003162D6">
              <w:rPr>
                <w:sz w:val="22"/>
                <w:szCs w:val="22"/>
              </w:rPr>
              <w:t>precaution that these can fulfil requirements before embarking on</w:t>
            </w:r>
            <w:r>
              <w:rPr>
                <w:sz w:val="22"/>
                <w:szCs w:val="22"/>
              </w:rPr>
              <w:t xml:space="preserve"> </w:t>
            </w:r>
            <w:r w:rsidRPr="003162D6">
              <w:rPr>
                <w:sz w:val="22"/>
                <w:szCs w:val="22"/>
              </w:rPr>
              <w:t>implementation of new technology.</w:t>
            </w:r>
          </w:p>
        </w:tc>
      </w:tr>
      <w:tr w:rsidR="0018127E" w14:paraId="2990FCF3"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0834A4C9" w14:textId="77777777" w:rsidR="0018127E" w:rsidRPr="00F63D1B" w:rsidRDefault="0018127E" w:rsidP="0018127E">
            <w:pPr>
              <w:pStyle w:val="ListParagraph"/>
              <w:spacing w:after="0"/>
              <w:ind w:left="0"/>
              <w:jc w:val="both"/>
              <w:rPr>
                <w:b w:val="0"/>
                <w:sz w:val="22"/>
                <w:szCs w:val="22"/>
              </w:rPr>
            </w:pPr>
            <w:r>
              <w:rPr>
                <w:b w:val="0"/>
                <w:sz w:val="22"/>
                <w:szCs w:val="22"/>
              </w:rPr>
              <w:t>Legislative</w:t>
            </w:r>
          </w:p>
        </w:tc>
        <w:tc>
          <w:tcPr>
            <w:tcW w:w="1559" w:type="dxa"/>
            <w:shd w:val="clear" w:color="auto" w:fill="FFFF66"/>
          </w:tcPr>
          <w:p w14:paraId="66A25808"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Cautious with Risk</w:t>
            </w:r>
          </w:p>
          <w:p w14:paraId="7D1820C4"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Low)</w:t>
            </w:r>
          </w:p>
        </w:tc>
        <w:tc>
          <w:tcPr>
            <w:tcW w:w="5076" w:type="dxa"/>
          </w:tcPr>
          <w:p w14:paraId="21ADF4B1"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will err on the side of caution regarding interpretation of legislation. However,</w:t>
            </w:r>
            <w:r>
              <w:rPr>
                <w:sz w:val="22"/>
                <w:szCs w:val="22"/>
              </w:rPr>
              <w:t xml:space="preserve"> </w:t>
            </w:r>
            <w:r w:rsidRPr="003162D6">
              <w:rPr>
                <w:sz w:val="22"/>
                <w:szCs w:val="22"/>
              </w:rPr>
              <w:t>we are willing to be more open to risk taking within our legislation to support</w:t>
            </w:r>
            <w:r>
              <w:rPr>
                <w:sz w:val="22"/>
                <w:szCs w:val="22"/>
              </w:rPr>
              <w:t xml:space="preserve"> </w:t>
            </w:r>
            <w:r w:rsidRPr="003162D6">
              <w:rPr>
                <w:sz w:val="22"/>
                <w:szCs w:val="22"/>
              </w:rPr>
              <w:t>wider objectives and vision when we have an appropriate understanding of</w:t>
            </w:r>
            <w:r>
              <w:rPr>
                <w:sz w:val="22"/>
                <w:szCs w:val="22"/>
              </w:rPr>
              <w:t xml:space="preserve"> </w:t>
            </w:r>
            <w:r w:rsidRPr="003162D6">
              <w:rPr>
                <w:sz w:val="22"/>
                <w:szCs w:val="22"/>
              </w:rPr>
              <w:t>existing case law and the risk that follows from our actions.</w:t>
            </w:r>
          </w:p>
        </w:tc>
      </w:tr>
      <w:tr w:rsidR="0018127E" w14:paraId="25C62351"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3A44B72A" w14:textId="77777777" w:rsidR="0018127E" w:rsidRPr="00F63D1B" w:rsidRDefault="0018127E" w:rsidP="0018127E">
            <w:pPr>
              <w:pStyle w:val="ListParagraph"/>
              <w:spacing w:after="0"/>
              <w:ind w:left="0"/>
              <w:rPr>
                <w:b w:val="0"/>
                <w:sz w:val="22"/>
                <w:szCs w:val="22"/>
              </w:rPr>
            </w:pPr>
            <w:r>
              <w:rPr>
                <w:b w:val="0"/>
                <w:sz w:val="22"/>
                <w:szCs w:val="22"/>
              </w:rPr>
              <w:t>Climate Change &amp; Environmental</w:t>
            </w:r>
          </w:p>
        </w:tc>
        <w:tc>
          <w:tcPr>
            <w:tcW w:w="1559" w:type="dxa"/>
            <w:shd w:val="clear" w:color="auto" w:fill="FFFF66"/>
          </w:tcPr>
          <w:p w14:paraId="7933ABA2"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Cautious with Risk</w:t>
            </w:r>
          </w:p>
          <w:p w14:paraId="4E4C5CD6"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Low)</w:t>
            </w:r>
          </w:p>
        </w:tc>
        <w:tc>
          <w:tcPr>
            <w:tcW w:w="5076" w:type="dxa"/>
          </w:tcPr>
          <w:p w14:paraId="629268AA"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are prepared to accept a higher level of risk of increasing our environmental</w:t>
            </w:r>
            <w:r>
              <w:rPr>
                <w:sz w:val="22"/>
                <w:szCs w:val="22"/>
              </w:rPr>
              <w:t xml:space="preserve"> </w:t>
            </w:r>
            <w:r w:rsidRPr="003162D6">
              <w:rPr>
                <w:sz w:val="22"/>
                <w:szCs w:val="22"/>
              </w:rPr>
              <w:t>impact in order to pursue our wider strategic objectives. However, these risks</w:t>
            </w:r>
            <w:r>
              <w:rPr>
                <w:sz w:val="22"/>
                <w:szCs w:val="22"/>
              </w:rPr>
              <w:t xml:space="preserve"> </w:t>
            </w:r>
            <w:r w:rsidRPr="003162D6">
              <w:rPr>
                <w:sz w:val="22"/>
                <w:szCs w:val="22"/>
              </w:rPr>
              <w:t>should be accompanied by strong mitigation and control factors that underpins</w:t>
            </w:r>
            <w:r>
              <w:rPr>
                <w:sz w:val="22"/>
                <w:szCs w:val="22"/>
              </w:rPr>
              <w:t xml:space="preserve"> </w:t>
            </w:r>
            <w:r w:rsidRPr="003162D6">
              <w:rPr>
                <w:sz w:val="22"/>
                <w:szCs w:val="22"/>
              </w:rPr>
              <w:t>our commitment to improving the local environment and reducing the</w:t>
            </w:r>
            <w:r>
              <w:rPr>
                <w:sz w:val="22"/>
                <w:szCs w:val="22"/>
              </w:rPr>
              <w:t xml:space="preserve"> </w:t>
            </w:r>
            <w:r w:rsidRPr="003162D6">
              <w:rPr>
                <w:sz w:val="22"/>
                <w:szCs w:val="22"/>
              </w:rPr>
              <w:t>environmental impact of council activities.</w:t>
            </w:r>
          </w:p>
        </w:tc>
      </w:tr>
      <w:tr w:rsidR="0018127E" w14:paraId="0E2AC904"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3D45A0EF" w14:textId="77777777" w:rsidR="0018127E" w:rsidRPr="00F63D1B" w:rsidRDefault="0018127E" w:rsidP="0018127E">
            <w:pPr>
              <w:pStyle w:val="ListParagraph"/>
              <w:spacing w:after="0"/>
              <w:ind w:left="0"/>
              <w:rPr>
                <w:b w:val="0"/>
                <w:sz w:val="22"/>
                <w:szCs w:val="22"/>
              </w:rPr>
            </w:pPr>
            <w:r>
              <w:rPr>
                <w:b w:val="0"/>
                <w:sz w:val="22"/>
                <w:szCs w:val="22"/>
              </w:rPr>
              <w:t>Customer / Citizen</w:t>
            </w:r>
          </w:p>
        </w:tc>
        <w:tc>
          <w:tcPr>
            <w:tcW w:w="1559" w:type="dxa"/>
            <w:shd w:val="clear" w:color="auto" w:fill="FFFF66"/>
          </w:tcPr>
          <w:p w14:paraId="333BC7BE"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Cautious with Risk</w:t>
            </w:r>
          </w:p>
          <w:p w14:paraId="176A927A" w14:textId="77777777" w:rsidR="0018127E" w:rsidRPr="00F63D1B"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Low)</w:t>
            </w:r>
          </w:p>
        </w:tc>
        <w:tc>
          <w:tcPr>
            <w:tcW w:w="5076" w:type="dxa"/>
          </w:tcPr>
          <w:p w14:paraId="6E820C9D" w14:textId="77777777" w:rsidR="0018127E" w:rsidRPr="00F63D1B"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We will accept some risk of reduced ability to serve our customers in individual</w:t>
            </w:r>
            <w:r>
              <w:rPr>
                <w:sz w:val="22"/>
                <w:szCs w:val="22"/>
              </w:rPr>
              <w:t xml:space="preserve"> </w:t>
            </w:r>
            <w:r w:rsidRPr="003162D6">
              <w:rPr>
                <w:sz w:val="22"/>
                <w:szCs w:val="22"/>
              </w:rPr>
              <w:t>areas, when seeking to address their future needs. Initiatives must address the</w:t>
            </w:r>
            <w:r>
              <w:rPr>
                <w:sz w:val="22"/>
                <w:szCs w:val="22"/>
              </w:rPr>
              <w:t xml:space="preserve"> </w:t>
            </w:r>
            <w:r w:rsidRPr="003162D6">
              <w:rPr>
                <w:sz w:val="22"/>
                <w:szCs w:val="22"/>
              </w:rPr>
              <w:t>possibility that new ways of providing services might not suit all citizens and</w:t>
            </w:r>
            <w:r>
              <w:rPr>
                <w:sz w:val="22"/>
                <w:szCs w:val="22"/>
              </w:rPr>
              <w:t xml:space="preserve"> </w:t>
            </w:r>
            <w:r w:rsidRPr="003162D6">
              <w:rPr>
                <w:sz w:val="22"/>
                <w:szCs w:val="22"/>
              </w:rPr>
              <w:t>provisions must be made to accommodate that.</w:t>
            </w:r>
          </w:p>
        </w:tc>
      </w:tr>
      <w:tr w:rsidR="0018127E" w14:paraId="75387E97" w14:textId="77777777" w:rsidTr="00C212D8">
        <w:tc>
          <w:tcPr>
            <w:cnfStyle w:val="001000000000" w:firstRow="0" w:lastRow="0" w:firstColumn="1" w:lastColumn="0" w:oddVBand="0" w:evenVBand="0" w:oddHBand="0" w:evenHBand="0" w:firstRowFirstColumn="0" w:firstRowLastColumn="0" w:lastRowFirstColumn="0" w:lastRowLastColumn="0"/>
            <w:tcW w:w="1838" w:type="dxa"/>
          </w:tcPr>
          <w:p w14:paraId="1A6E5A2C" w14:textId="77777777" w:rsidR="0018127E" w:rsidRPr="00F63D1B" w:rsidRDefault="0018127E" w:rsidP="0018127E">
            <w:pPr>
              <w:pStyle w:val="ListParagraph"/>
              <w:spacing w:after="0"/>
              <w:ind w:left="0"/>
              <w:rPr>
                <w:b w:val="0"/>
                <w:sz w:val="22"/>
                <w:szCs w:val="22"/>
              </w:rPr>
            </w:pPr>
            <w:r w:rsidRPr="00F63D1B">
              <w:rPr>
                <w:b w:val="0"/>
                <w:sz w:val="22"/>
                <w:szCs w:val="22"/>
              </w:rPr>
              <w:t>Partnership / Contractual</w:t>
            </w:r>
          </w:p>
        </w:tc>
        <w:tc>
          <w:tcPr>
            <w:tcW w:w="1559" w:type="dxa"/>
            <w:shd w:val="clear" w:color="auto" w:fill="FF4413"/>
          </w:tcPr>
          <w:p w14:paraId="16861AE9" w14:textId="77777777" w:rsidR="0018127E" w:rsidRPr="003162D6"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Open to Risk</w:t>
            </w:r>
          </w:p>
          <w:p w14:paraId="31C316B7" w14:textId="77777777" w:rsidR="0018127E" w:rsidRDefault="0018127E" w:rsidP="0018127E">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(Medium High)</w:t>
            </w:r>
          </w:p>
        </w:tc>
        <w:tc>
          <w:tcPr>
            <w:tcW w:w="5076" w:type="dxa"/>
          </w:tcPr>
          <w:p w14:paraId="244B3B8E" w14:textId="77777777" w:rsidR="0018127E"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Partnerships are essential to achieving our objectives and we will pursue</w:t>
            </w:r>
            <w:r>
              <w:rPr>
                <w:sz w:val="22"/>
                <w:szCs w:val="22"/>
              </w:rPr>
              <w:t xml:space="preserve"> </w:t>
            </w:r>
            <w:r w:rsidRPr="003162D6">
              <w:rPr>
                <w:sz w:val="22"/>
                <w:szCs w:val="22"/>
              </w:rPr>
              <w:t>relationships for the best outcome of our residents</w:t>
            </w:r>
            <w:r>
              <w:rPr>
                <w:sz w:val="22"/>
                <w:szCs w:val="22"/>
              </w:rPr>
              <w:t xml:space="preserve"> </w:t>
            </w:r>
            <w:r w:rsidRPr="003162D6">
              <w:rPr>
                <w:sz w:val="22"/>
                <w:szCs w:val="22"/>
              </w:rPr>
              <w:t>and positively drive the Luton</w:t>
            </w:r>
            <w:r>
              <w:rPr>
                <w:sz w:val="22"/>
                <w:szCs w:val="22"/>
              </w:rPr>
              <w:t xml:space="preserve"> </w:t>
            </w:r>
            <w:r w:rsidRPr="003162D6">
              <w:rPr>
                <w:sz w:val="22"/>
                <w:szCs w:val="22"/>
              </w:rPr>
              <w:t>2040 agenda.</w:t>
            </w:r>
          </w:p>
        </w:tc>
      </w:tr>
      <w:tr w:rsidR="0018127E" w14:paraId="6601A578" w14:textId="77777777" w:rsidTr="0018127E">
        <w:tc>
          <w:tcPr>
            <w:cnfStyle w:val="001000000000" w:firstRow="0" w:lastRow="0" w:firstColumn="1" w:lastColumn="0" w:oddVBand="0" w:evenVBand="0" w:oddHBand="0" w:evenHBand="0" w:firstRowFirstColumn="0" w:firstRowLastColumn="0" w:lastRowFirstColumn="0" w:lastRowLastColumn="0"/>
            <w:tcW w:w="1838" w:type="dxa"/>
          </w:tcPr>
          <w:p w14:paraId="135D560D" w14:textId="77777777" w:rsidR="0018127E" w:rsidRPr="00F63D1B" w:rsidRDefault="0018127E" w:rsidP="0018127E">
            <w:pPr>
              <w:pStyle w:val="ListParagraph"/>
              <w:spacing w:after="0"/>
              <w:ind w:left="0"/>
              <w:rPr>
                <w:b w:val="0"/>
                <w:sz w:val="22"/>
                <w:szCs w:val="22"/>
              </w:rPr>
            </w:pPr>
            <w:r>
              <w:rPr>
                <w:b w:val="0"/>
                <w:sz w:val="22"/>
                <w:szCs w:val="22"/>
              </w:rPr>
              <w:t>Reputational</w:t>
            </w:r>
          </w:p>
        </w:tc>
        <w:tc>
          <w:tcPr>
            <w:tcW w:w="6635" w:type="dxa"/>
            <w:gridSpan w:val="2"/>
          </w:tcPr>
          <w:p w14:paraId="7EBAF979" w14:textId="77777777" w:rsidR="0018127E" w:rsidRDefault="0018127E" w:rsidP="0018127E">
            <w:pPr>
              <w:spacing w:after="0"/>
              <w:jc w:val="both"/>
              <w:cnfStyle w:val="000000000000" w:firstRow="0" w:lastRow="0" w:firstColumn="0" w:lastColumn="0" w:oddVBand="0" w:evenVBand="0" w:oddHBand="0" w:evenHBand="0" w:firstRowFirstColumn="0" w:firstRowLastColumn="0" w:lastRowFirstColumn="0" w:lastRowLastColumn="0"/>
              <w:rPr>
                <w:sz w:val="22"/>
                <w:szCs w:val="22"/>
              </w:rPr>
            </w:pPr>
            <w:r w:rsidRPr="003162D6">
              <w:rPr>
                <w:sz w:val="22"/>
                <w:szCs w:val="22"/>
              </w:rPr>
              <w:t>Reputational risks were also discussed. However, through review of feedback from initial draft reports,</w:t>
            </w:r>
            <w:r>
              <w:rPr>
                <w:sz w:val="22"/>
                <w:szCs w:val="22"/>
              </w:rPr>
              <w:t xml:space="preserve"> it was </w:t>
            </w:r>
            <w:r w:rsidRPr="003162D6">
              <w:rPr>
                <w:sz w:val="22"/>
                <w:szCs w:val="22"/>
              </w:rPr>
              <w:t>decided to leave out reputation as a separate risk category. Reputational risk is</w:t>
            </w:r>
            <w:r>
              <w:rPr>
                <w:sz w:val="22"/>
                <w:szCs w:val="22"/>
              </w:rPr>
              <w:t xml:space="preserve"> </w:t>
            </w:r>
            <w:r w:rsidRPr="003162D6">
              <w:rPr>
                <w:sz w:val="22"/>
                <w:szCs w:val="22"/>
              </w:rPr>
              <w:t>crosscutting and the reputational impacts should instead be considered as part of the risk analysis</w:t>
            </w:r>
            <w:r>
              <w:rPr>
                <w:sz w:val="22"/>
                <w:szCs w:val="22"/>
              </w:rPr>
              <w:t xml:space="preserve"> </w:t>
            </w:r>
            <w:r w:rsidRPr="003162D6">
              <w:rPr>
                <w:sz w:val="22"/>
                <w:szCs w:val="22"/>
              </w:rPr>
              <w:t>for risks across all categories.</w:t>
            </w:r>
          </w:p>
        </w:tc>
      </w:tr>
    </w:tbl>
    <w:p w14:paraId="6835D903" w14:textId="77777777" w:rsidR="0018127E" w:rsidRPr="00D7248E" w:rsidRDefault="0018127E" w:rsidP="0018127E">
      <w:pPr>
        <w:pStyle w:val="ListParagraph"/>
        <w:ind w:left="709"/>
        <w:jc w:val="both"/>
        <w:rPr>
          <w:szCs w:val="24"/>
        </w:rPr>
      </w:pPr>
    </w:p>
    <w:p w14:paraId="74D341EC" w14:textId="1916F8AB" w:rsidR="0018127E" w:rsidRPr="0018127E" w:rsidRDefault="0018127E" w:rsidP="0018127E">
      <w:pPr>
        <w:pStyle w:val="ListParagraph"/>
        <w:spacing w:after="0"/>
        <w:ind w:left="709"/>
        <w:jc w:val="both"/>
        <w:rPr>
          <w:i/>
          <w:szCs w:val="24"/>
        </w:rPr>
      </w:pPr>
      <w:r w:rsidRPr="0018127E">
        <w:rPr>
          <w:i/>
          <w:szCs w:val="24"/>
        </w:rPr>
        <w:t>Overall Risk Appetite Statement:</w:t>
      </w:r>
    </w:p>
    <w:p w14:paraId="6794E1E9" w14:textId="77777777" w:rsidR="0018127E" w:rsidRPr="00984121" w:rsidRDefault="0018127E" w:rsidP="0018127E">
      <w:pPr>
        <w:pStyle w:val="ListParagraph"/>
        <w:spacing w:after="0"/>
        <w:ind w:left="709"/>
        <w:jc w:val="both"/>
        <w:rPr>
          <w:b/>
          <w:sz w:val="16"/>
          <w:szCs w:val="16"/>
        </w:rPr>
      </w:pPr>
    </w:p>
    <w:tbl>
      <w:tblPr>
        <w:tblStyle w:val="TableGrid"/>
        <w:tblW w:w="0" w:type="auto"/>
        <w:tblInd w:w="709" w:type="dxa"/>
        <w:tblLook w:val="04A0" w:firstRow="1" w:lastRow="0" w:firstColumn="1" w:lastColumn="0" w:noHBand="0" w:noVBand="1"/>
      </w:tblPr>
      <w:tblGrid>
        <w:gridCol w:w="8473"/>
      </w:tblGrid>
      <w:tr w:rsidR="0018127E" w14:paraId="30457BB4" w14:textId="77777777" w:rsidTr="00181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3" w:type="dxa"/>
            <w:tcBorders>
              <w:bottom w:val="single" w:sz="4" w:space="0" w:color="auto"/>
            </w:tcBorders>
          </w:tcPr>
          <w:p w14:paraId="55AB8621" w14:textId="77777777" w:rsidR="0018127E" w:rsidRPr="003162D6" w:rsidRDefault="0018127E" w:rsidP="0018127E">
            <w:pPr>
              <w:spacing w:after="0"/>
              <w:jc w:val="both"/>
              <w:rPr>
                <w:sz w:val="22"/>
                <w:szCs w:val="22"/>
              </w:rPr>
            </w:pPr>
            <w:r w:rsidRPr="003162D6">
              <w:rPr>
                <w:sz w:val="22"/>
                <w:szCs w:val="22"/>
              </w:rPr>
              <w:t>The council is open to a certain amount of risk in pursuing initiatives to support both high ambitions and the reality of existing in volatile and changing environment. The council will be cautious to make sure that risks are within the council’s capability to manage them and has the capacity to withstand negative impacts.</w:t>
            </w:r>
          </w:p>
        </w:tc>
      </w:tr>
    </w:tbl>
    <w:p w14:paraId="74A76874" w14:textId="77777777" w:rsidR="0018127E" w:rsidRPr="00CA6EA9" w:rsidRDefault="0018127E" w:rsidP="0018127E">
      <w:pPr>
        <w:pStyle w:val="ListParagraph"/>
        <w:ind w:left="709"/>
        <w:jc w:val="both"/>
        <w:rPr>
          <w:b/>
          <w:szCs w:val="24"/>
        </w:rPr>
      </w:pPr>
    </w:p>
    <w:p w14:paraId="555F0F98" w14:textId="0FBC2BB5" w:rsidR="0018127E" w:rsidRDefault="0018127E" w:rsidP="0018127E">
      <w:pPr>
        <w:pStyle w:val="ListParagraph"/>
        <w:numPr>
          <w:ilvl w:val="0"/>
          <w:numId w:val="2"/>
        </w:numPr>
        <w:ind w:left="709" w:hanging="709"/>
        <w:jc w:val="both"/>
      </w:pPr>
      <w:r>
        <w:t xml:space="preserve">Further details on the work undertaken by ZM and the development of the council’s risk appetite statement is noted in ZM’s report </w:t>
      </w:r>
      <w:r w:rsidRPr="00CA6EA9">
        <w:t xml:space="preserve">attached at Appendix </w:t>
      </w:r>
      <w:r w:rsidR="00CF2A49">
        <w:t>A</w:t>
      </w:r>
      <w:r>
        <w:t xml:space="preserve">.  </w:t>
      </w:r>
      <w:r w:rsidR="00C212D8">
        <w:t xml:space="preserve">Since then, these </w:t>
      </w:r>
      <w:r>
        <w:t>statements have been</w:t>
      </w:r>
      <w:r w:rsidR="00E16844">
        <w:t xml:space="preserve"> approved by this Committee; and </w:t>
      </w:r>
      <w:r w:rsidR="00C212D8">
        <w:t xml:space="preserve">have also been </w:t>
      </w:r>
      <w:r>
        <w:t>incorporated within the Council’s Risk Management Strategy.</w:t>
      </w:r>
    </w:p>
    <w:p w14:paraId="3AE611F6" w14:textId="77777777" w:rsidR="0018127E" w:rsidRPr="00CA6EA9" w:rsidRDefault="0018127E" w:rsidP="0018127E">
      <w:pPr>
        <w:pStyle w:val="ListParagraph"/>
        <w:ind w:left="709"/>
        <w:jc w:val="both"/>
      </w:pPr>
    </w:p>
    <w:p w14:paraId="274BD8BE" w14:textId="2967087E" w:rsidR="0018127E" w:rsidRDefault="00D84001" w:rsidP="0018127E">
      <w:pPr>
        <w:pStyle w:val="ListParagraph"/>
        <w:numPr>
          <w:ilvl w:val="0"/>
          <w:numId w:val="2"/>
        </w:numPr>
        <w:ind w:left="709" w:hanging="709"/>
        <w:jc w:val="both"/>
      </w:pPr>
      <w:r>
        <w:t>T</w:t>
      </w:r>
      <w:r w:rsidR="0018127E">
        <w:t xml:space="preserve">he </w:t>
      </w:r>
      <w:r w:rsidR="0018127E" w:rsidRPr="007A6A75">
        <w:t xml:space="preserve">Committee </w:t>
      </w:r>
      <w:r>
        <w:t xml:space="preserve">is </w:t>
      </w:r>
      <w:r w:rsidR="0018127E">
        <w:t xml:space="preserve">recommended to </w:t>
      </w:r>
      <w:r w:rsidR="0018127E" w:rsidRPr="007A6A75">
        <w:t>review the</w:t>
      </w:r>
      <w:r w:rsidR="0018127E">
        <w:t xml:space="preserve"> risk appetite s</w:t>
      </w:r>
      <w:r w:rsidR="0018127E" w:rsidRPr="007A6A75">
        <w:t>tatements</w:t>
      </w:r>
      <w:r w:rsidR="0018127E">
        <w:t xml:space="preserve"> to ensure they remain current.  </w:t>
      </w:r>
    </w:p>
    <w:p w14:paraId="0F2912BC" w14:textId="22786C14" w:rsidR="0096316C" w:rsidRDefault="0096316C" w:rsidP="0096316C">
      <w:pPr>
        <w:pStyle w:val="ListParagraph"/>
        <w:ind w:left="709"/>
        <w:jc w:val="both"/>
      </w:pPr>
    </w:p>
    <w:p w14:paraId="00D6FA22" w14:textId="5DC5A469" w:rsidR="0018127E" w:rsidRPr="0018127E" w:rsidRDefault="0018127E" w:rsidP="0096316C">
      <w:pPr>
        <w:pStyle w:val="ListParagraph"/>
        <w:ind w:left="709"/>
        <w:jc w:val="both"/>
        <w:rPr>
          <w:b/>
        </w:rPr>
      </w:pPr>
      <w:r>
        <w:rPr>
          <w:b/>
        </w:rPr>
        <w:t>Corporate Risk Register</w:t>
      </w:r>
    </w:p>
    <w:p w14:paraId="305091FE" w14:textId="77777777" w:rsidR="0096316C" w:rsidRDefault="0096316C" w:rsidP="0096316C">
      <w:pPr>
        <w:pStyle w:val="ListParagraph"/>
        <w:ind w:left="709"/>
        <w:jc w:val="both"/>
      </w:pPr>
    </w:p>
    <w:p w14:paraId="0179857C" w14:textId="35C060DB" w:rsidR="00133254" w:rsidRDefault="006E1135" w:rsidP="008771C5">
      <w:pPr>
        <w:pStyle w:val="ListParagraph"/>
        <w:numPr>
          <w:ilvl w:val="0"/>
          <w:numId w:val="2"/>
        </w:numPr>
        <w:ind w:left="709" w:hanging="709"/>
        <w:jc w:val="both"/>
      </w:pPr>
      <w:r>
        <w:t>The council uses the 4X4 Risk Assessment Matrix (grid below) to a</w:t>
      </w:r>
      <w:r w:rsidR="000500D8">
        <w:t>ssess both the likelihood of a</w:t>
      </w:r>
      <w:r>
        <w:t xml:space="preserve"> risk occurring and the impact on the council in the event that it did occur.</w:t>
      </w:r>
      <w:r w:rsidR="00667358">
        <w:t xml:space="preserve">  </w:t>
      </w:r>
    </w:p>
    <w:p w14:paraId="2E02A3DD" w14:textId="61095494" w:rsidR="00832B39" w:rsidRDefault="00832B39" w:rsidP="00832B39">
      <w:pPr>
        <w:pStyle w:val="ListParagraph"/>
        <w:ind w:left="709"/>
        <w:jc w:val="both"/>
      </w:pPr>
    </w:p>
    <w:p w14:paraId="36552982" w14:textId="02E3D2C3" w:rsidR="00FE1A4E" w:rsidRDefault="008C7CDC" w:rsidP="009A7746">
      <w:pPr>
        <w:pStyle w:val="ListParagraph"/>
        <w:spacing w:after="0"/>
        <w:ind w:left="360"/>
        <w:jc w:val="center"/>
        <w:rPr>
          <w:rFonts w:eastAsia="Calibri" w:cs="Arial"/>
          <w:szCs w:val="24"/>
        </w:rPr>
      </w:pPr>
      <w:r>
        <w:rPr>
          <w:noProof/>
          <w:lang w:eastAsia="en-GB"/>
        </w:rPr>
        <w:drawing>
          <wp:inline distT="0" distB="0" distL="0" distR="0" wp14:anchorId="79193D95" wp14:editId="0E122846">
            <wp:extent cx="4146550" cy="2226998"/>
            <wp:effectExtent l="0" t="0" r="6350" b="1905"/>
            <wp:docPr id="7296351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35103" name="Picture 1" descr="A screenshot of a computer&#10;&#10;Description automatically generated"/>
                    <pic:cNvPicPr/>
                  </pic:nvPicPr>
                  <pic:blipFill>
                    <a:blip r:embed="rId11"/>
                    <a:stretch>
                      <a:fillRect/>
                    </a:stretch>
                  </pic:blipFill>
                  <pic:spPr>
                    <a:xfrm>
                      <a:off x="0" y="0"/>
                      <a:ext cx="4346775" cy="2334534"/>
                    </a:xfrm>
                    <a:prstGeom prst="rect">
                      <a:avLst/>
                    </a:prstGeom>
                  </pic:spPr>
                </pic:pic>
              </a:graphicData>
            </a:graphic>
          </wp:inline>
        </w:drawing>
      </w:r>
    </w:p>
    <w:p w14:paraId="19165ADA" w14:textId="77777777" w:rsidR="008C7CDC" w:rsidRDefault="008C7CDC" w:rsidP="00DA3AB3">
      <w:pPr>
        <w:overflowPunct/>
        <w:autoSpaceDE/>
        <w:autoSpaceDN/>
        <w:adjustRightInd/>
        <w:spacing w:after="0"/>
        <w:ind w:left="709"/>
        <w:jc w:val="both"/>
        <w:textAlignment w:val="auto"/>
        <w:rPr>
          <w:rFonts w:eastAsia="Calibri" w:cs="Arial"/>
          <w:szCs w:val="24"/>
        </w:rPr>
      </w:pPr>
    </w:p>
    <w:p w14:paraId="5E796362" w14:textId="6336612E" w:rsidR="00832B39" w:rsidRDefault="00FE1A4E" w:rsidP="00AD46C2">
      <w:pPr>
        <w:numPr>
          <w:ilvl w:val="0"/>
          <w:numId w:val="2"/>
        </w:numPr>
        <w:overflowPunct/>
        <w:autoSpaceDE/>
        <w:autoSpaceDN/>
        <w:adjustRightInd/>
        <w:spacing w:after="0"/>
        <w:ind w:left="709" w:hanging="709"/>
        <w:jc w:val="both"/>
        <w:textAlignment w:val="auto"/>
        <w:rPr>
          <w:rFonts w:eastAsia="Calibri" w:cs="Arial"/>
          <w:szCs w:val="24"/>
        </w:rPr>
      </w:pPr>
      <w:bookmarkStart w:id="0" w:name="_GoBack"/>
      <w:bookmarkEnd w:id="0"/>
      <w:r w:rsidRPr="00FE1A4E">
        <w:rPr>
          <w:rFonts w:eastAsia="Calibri" w:cs="Arial"/>
          <w:szCs w:val="24"/>
        </w:rPr>
        <w:t xml:space="preserve">The risk is scored twice, an initial assessment, known as the </w:t>
      </w:r>
      <w:r w:rsidRPr="00B071F0">
        <w:rPr>
          <w:rFonts w:eastAsia="Calibri" w:cs="Arial"/>
          <w:i/>
          <w:szCs w:val="24"/>
        </w:rPr>
        <w:t>inherent risk</w:t>
      </w:r>
      <w:r w:rsidRPr="00FE1A4E">
        <w:rPr>
          <w:rFonts w:eastAsia="Calibri" w:cs="Arial"/>
          <w:szCs w:val="24"/>
        </w:rPr>
        <w:t xml:space="preserve">, and a further assessment, known as the </w:t>
      </w:r>
      <w:r w:rsidRPr="00B071F0">
        <w:rPr>
          <w:rFonts w:eastAsia="Calibri" w:cs="Arial"/>
          <w:i/>
          <w:szCs w:val="24"/>
        </w:rPr>
        <w:t>residual risk</w:t>
      </w:r>
      <w:r w:rsidRPr="00FE1A4E">
        <w:rPr>
          <w:rFonts w:eastAsia="Calibri" w:cs="Arial"/>
          <w:szCs w:val="24"/>
        </w:rPr>
        <w:t xml:space="preserve">, after considering the controls and mitigation the council already has in place.  </w:t>
      </w:r>
      <w:r w:rsidR="00032738">
        <w:rPr>
          <w:rFonts w:eastAsia="Calibri" w:cs="Arial"/>
          <w:szCs w:val="24"/>
        </w:rPr>
        <w:t>The criteria used</w:t>
      </w:r>
      <w:r w:rsidR="000500D8">
        <w:rPr>
          <w:rFonts w:eastAsia="Calibri" w:cs="Arial"/>
          <w:szCs w:val="24"/>
        </w:rPr>
        <w:t xml:space="preserve"> to assess the likelihood of a</w:t>
      </w:r>
      <w:r w:rsidR="00032738">
        <w:rPr>
          <w:rFonts w:eastAsia="Calibri" w:cs="Arial"/>
          <w:szCs w:val="24"/>
        </w:rPr>
        <w:t xml:space="preserve"> risk occurring and consequences is detailed in the table below.</w:t>
      </w:r>
      <w:r w:rsidR="00667358">
        <w:rPr>
          <w:rFonts w:eastAsia="Calibri" w:cs="Arial"/>
          <w:szCs w:val="24"/>
        </w:rPr>
        <w:t xml:space="preserve">  </w:t>
      </w:r>
      <w:r w:rsidR="00667358" w:rsidRPr="00667358">
        <w:rPr>
          <w:rFonts w:eastAsia="Calibri" w:cs="Arial"/>
          <w:szCs w:val="24"/>
        </w:rPr>
        <w:t>The overall risk score is calculated by multiplying the impac</w:t>
      </w:r>
      <w:r w:rsidR="00667358">
        <w:rPr>
          <w:rFonts w:eastAsia="Calibri" w:cs="Arial"/>
          <w:szCs w:val="24"/>
        </w:rPr>
        <w:t>t score by the likelihood score.</w:t>
      </w:r>
    </w:p>
    <w:p w14:paraId="383B1FD1" w14:textId="77777777" w:rsidR="0018127E" w:rsidRDefault="0018127E" w:rsidP="0018127E">
      <w:pPr>
        <w:overflowPunct/>
        <w:autoSpaceDE/>
        <w:autoSpaceDN/>
        <w:adjustRightInd/>
        <w:spacing w:after="0"/>
        <w:ind w:left="709"/>
        <w:jc w:val="both"/>
        <w:textAlignment w:val="auto"/>
        <w:rPr>
          <w:rFonts w:eastAsia="Calibri" w:cs="Arial"/>
          <w:szCs w:val="24"/>
        </w:rPr>
      </w:pPr>
    </w:p>
    <w:tbl>
      <w:tblPr>
        <w:tblStyle w:val="TableGrid1"/>
        <w:tblW w:w="8789" w:type="dxa"/>
        <w:tblInd w:w="562" w:type="dxa"/>
        <w:tblLook w:val="04A0" w:firstRow="1" w:lastRow="0" w:firstColumn="1" w:lastColumn="0" w:noHBand="0" w:noVBand="1"/>
      </w:tblPr>
      <w:tblGrid>
        <w:gridCol w:w="851"/>
        <w:gridCol w:w="1701"/>
        <w:gridCol w:w="2126"/>
        <w:gridCol w:w="4111"/>
      </w:tblGrid>
      <w:tr w:rsidR="00032738" w:rsidRPr="00593AB7" w14:paraId="53A95909" w14:textId="77777777" w:rsidTr="00984121">
        <w:trPr>
          <w:trHeight w:val="699"/>
        </w:trPr>
        <w:tc>
          <w:tcPr>
            <w:tcW w:w="851" w:type="dxa"/>
            <w:shd w:val="clear" w:color="auto" w:fill="D9D9D9"/>
          </w:tcPr>
          <w:p w14:paraId="36219AF6" w14:textId="77777777" w:rsidR="00032738" w:rsidRPr="00ED60B5" w:rsidRDefault="00032738" w:rsidP="00F94A5A">
            <w:pPr>
              <w:keepNext/>
              <w:overflowPunct/>
              <w:autoSpaceDE/>
              <w:autoSpaceDN/>
              <w:adjustRightInd/>
              <w:spacing w:after="0"/>
              <w:jc w:val="center"/>
              <w:textAlignment w:val="auto"/>
              <w:outlineLvl w:val="2"/>
              <w:rPr>
                <w:rFonts w:cs="Arial"/>
                <w:b/>
                <w:bCs/>
                <w:color w:val="000000"/>
                <w:sz w:val="22"/>
                <w:szCs w:val="22"/>
                <w:lang w:eastAsia="en-GB"/>
              </w:rPr>
            </w:pPr>
            <w:r w:rsidRPr="00ED60B5">
              <w:rPr>
                <w:rFonts w:cs="Arial"/>
                <w:b/>
                <w:bCs/>
                <w:color w:val="000000"/>
                <w:sz w:val="22"/>
                <w:szCs w:val="22"/>
                <w:lang w:eastAsia="en-GB"/>
              </w:rPr>
              <w:t>Score</w:t>
            </w:r>
          </w:p>
        </w:tc>
        <w:tc>
          <w:tcPr>
            <w:tcW w:w="1701" w:type="dxa"/>
            <w:shd w:val="clear" w:color="auto" w:fill="D9D9D9"/>
          </w:tcPr>
          <w:p w14:paraId="42429AD2" w14:textId="77777777" w:rsidR="00032738" w:rsidRPr="00ED60B5" w:rsidRDefault="00032738" w:rsidP="00F94A5A">
            <w:pPr>
              <w:keepNext/>
              <w:overflowPunct/>
              <w:autoSpaceDE/>
              <w:autoSpaceDN/>
              <w:adjustRightInd/>
              <w:spacing w:after="0"/>
              <w:jc w:val="center"/>
              <w:textAlignment w:val="auto"/>
              <w:outlineLvl w:val="2"/>
              <w:rPr>
                <w:rFonts w:cs="Arial"/>
                <w:b/>
                <w:bCs/>
                <w:color w:val="000000"/>
                <w:sz w:val="22"/>
                <w:szCs w:val="22"/>
                <w:lang w:eastAsia="en-GB"/>
              </w:rPr>
            </w:pPr>
            <w:r w:rsidRPr="00ED60B5">
              <w:rPr>
                <w:rFonts w:cs="Arial"/>
                <w:b/>
                <w:bCs/>
                <w:color w:val="000000"/>
                <w:sz w:val="22"/>
                <w:szCs w:val="22"/>
                <w:lang w:eastAsia="en-GB"/>
              </w:rPr>
              <w:t>Description</w:t>
            </w:r>
          </w:p>
        </w:tc>
        <w:tc>
          <w:tcPr>
            <w:tcW w:w="2126" w:type="dxa"/>
            <w:shd w:val="clear" w:color="auto" w:fill="D9D9D9"/>
          </w:tcPr>
          <w:p w14:paraId="103A40C2" w14:textId="71966139" w:rsidR="00032738" w:rsidRPr="00ED60B5" w:rsidRDefault="000C6434" w:rsidP="00F94A5A">
            <w:pPr>
              <w:keepNext/>
              <w:overflowPunct/>
              <w:autoSpaceDE/>
              <w:autoSpaceDN/>
              <w:adjustRightInd/>
              <w:spacing w:after="0"/>
              <w:jc w:val="center"/>
              <w:textAlignment w:val="auto"/>
              <w:outlineLvl w:val="2"/>
              <w:rPr>
                <w:rFonts w:cs="Arial"/>
                <w:b/>
                <w:bCs/>
                <w:sz w:val="22"/>
                <w:szCs w:val="22"/>
                <w:lang w:eastAsia="en-GB"/>
              </w:rPr>
            </w:pPr>
            <w:r w:rsidRPr="00ED60B5">
              <w:rPr>
                <w:rFonts w:cs="Arial"/>
                <w:b/>
                <w:bCs/>
                <w:sz w:val="22"/>
                <w:szCs w:val="22"/>
                <w:lang w:eastAsia="en-GB"/>
              </w:rPr>
              <w:t>Li</w:t>
            </w:r>
            <w:r>
              <w:rPr>
                <w:rFonts w:cs="Arial"/>
                <w:b/>
                <w:bCs/>
                <w:sz w:val="22"/>
                <w:szCs w:val="22"/>
                <w:lang w:eastAsia="en-GB"/>
              </w:rPr>
              <w:t>kelihood</w:t>
            </w:r>
          </w:p>
          <w:p w14:paraId="25D31D7B" w14:textId="77777777" w:rsidR="00032738" w:rsidRPr="00ED60B5" w:rsidRDefault="00032738" w:rsidP="00F94A5A">
            <w:pPr>
              <w:keepNext/>
              <w:overflowPunct/>
              <w:autoSpaceDE/>
              <w:autoSpaceDN/>
              <w:adjustRightInd/>
              <w:spacing w:after="0"/>
              <w:jc w:val="center"/>
              <w:textAlignment w:val="auto"/>
              <w:outlineLvl w:val="2"/>
              <w:rPr>
                <w:rFonts w:cs="Arial"/>
                <w:b/>
                <w:bCs/>
                <w:sz w:val="22"/>
                <w:szCs w:val="22"/>
                <w:lang w:eastAsia="en-GB"/>
              </w:rPr>
            </w:pPr>
            <w:r w:rsidRPr="00ED60B5">
              <w:rPr>
                <w:rFonts w:cs="Arial"/>
                <w:b/>
                <w:bCs/>
                <w:sz w:val="22"/>
                <w:szCs w:val="22"/>
                <w:lang w:eastAsia="en-GB"/>
              </w:rPr>
              <w:t>(short to medium</w:t>
            </w:r>
            <w:r w:rsidRPr="00ED60B5">
              <w:rPr>
                <w:rFonts w:cs="Arial"/>
                <w:b/>
                <w:bCs/>
                <w:sz w:val="22"/>
                <w:szCs w:val="22"/>
                <w:lang w:eastAsia="en-GB"/>
              </w:rPr>
              <w:br/>
              <w:t>term)</w:t>
            </w:r>
          </w:p>
        </w:tc>
        <w:tc>
          <w:tcPr>
            <w:tcW w:w="4111" w:type="dxa"/>
            <w:shd w:val="clear" w:color="auto" w:fill="D9D9D9"/>
          </w:tcPr>
          <w:p w14:paraId="2F1ECAB5" w14:textId="5A06F6FC" w:rsidR="00032738" w:rsidRPr="00ED60B5" w:rsidRDefault="00032738" w:rsidP="00F94A5A">
            <w:pPr>
              <w:keepNext/>
              <w:overflowPunct/>
              <w:autoSpaceDE/>
              <w:autoSpaceDN/>
              <w:adjustRightInd/>
              <w:spacing w:after="0"/>
              <w:jc w:val="center"/>
              <w:textAlignment w:val="auto"/>
              <w:outlineLvl w:val="2"/>
              <w:rPr>
                <w:rFonts w:cs="Arial"/>
                <w:b/>
                <w:bCs/>
                <w:sz w:val="22"/>
                <w:szCs w:val="22"/>
                <w:lang w:eastAsia="en-GB"/>
              </w:rPr>
            </w:pPr>
            <w:r w:rsidRPr="00ED60B5">
              <w:rPr>
                <w:rFonts w:cs="Arial"/>
                <w:b/>
                <w:bCs/>
                <w:sz w:val="22"/>
                <w:szCs w:val="22"/>
                <w:lang w:eastAsia="en-GB"/>
              </w:rPr>
              <w:t>C</w:t>
            </w:r>
            <w:r w:rsidR="000C6434">
              <w:rPr>
                <w:rFonts w:cs="Arial"/>
                <w:b/>
                <w:bCs/>
                <w:sz w:val="22"/>
                <w:szCs w:val="22"/>
                <w:lang w:eastAsia="en-GB"/>
              </w:rPr>
              <w:t>onsequences</w:t>
            </w:r>
            <w:r w:rsidRPr="00ED60B5">
              <w:rPr>
                <w:rFonts w:cs="Arial"/>
                <w:b/>
                <w:bCs/>
                <w:sz w:val="22"/>
                <w:szCs w:val="22"/>
                <w:lang w:eastAsia="en-GB"/>
              </w:rPr>
              <w:t xml:space="preserve"> / I</w:t>
            </w:r>
            <w:r w:rsidR="000C6434">
              <w:rPr>
                <w:rFonts w:cs="Arial"/>
                <w:b/>
                <w:bCs/>
                <w:sz w:val="22"/>
                <w:szCs w:val="22"/>
                <w:lang w:eastAsia="en-GB"/>
              </w:rPr>
              <w:t>mpact</w:t>
            </w:r>
          </w:p>
          <w:p w14:paraId="4B533F1F" w14:textId="77777777" w:rsidR="00032738" w:rsidRPr="00ED60B5" w:rsidRDefault="00032738" w:rsidP="00F94A5A">
            <w:pPr>
              <w:keepNext/>
              <w:overflowPunct/>
              <w:autoSpaceDE/>
              <w:autoSpaceDN/>
              <w:adjustRightInd/>
              <w:spacing w:after="0"/>
              <w:jc w:val="center"/>
              <w:textAlignment w:val="auto"/>
              <w:outlineLvl w:val="2"/>
              <w:rPr>
                <w:rFonts w:cs="Arial"/>
                <w:b/>
                <w:bCs/>
                <w:sz w:val="22"/>
                <w:szCs w:val="22"/>
                <w:lang w:eastAsia="en-GB"/>
              </w:rPr>
            </w:pPr>
            <w:r w:rsidRPr="00ED60B5">
              <w:rPr>
                <w:rFonts w:cs="Arial"/>
                <w:b/>
                <w:bCs/>
                <w:sz w:val="22"/>
                <w:szCs w:val="22"/>
                <w:lang w:eastAsia="en-GB"/>
              </w:rPr>
              <w:t>(i.e. impact on strategy, operations and financial implications)</w:t>
            </w:r>
          </w:p>
        </w:tc>
      </w:tr>
      <w:tr w:rsidR="00032738" w:rsidRPr="00593AB7" w14:paraId="38B283D8" w14:textId="77777777" w:rsidTr="00984121">
        <w:trPr>
          <w:trHeight w:val="803"/>
        </w:trPr>
        <w:tc>
          <w:tcPr>
            <w:tcW w:w="851" w:type="dxa"/>
          </w:tcPr>
          <w:p w14:paraId="22C980C5"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4</w:t>
            </w:r>
          </w:p>
        </w:tc>
        <w:tc>
          <w:tcPr>
            <w:tcW w:w="1701" w:type="dxa"/>
          </w:tcPr>
          <w:p w14:paraId="275DB885"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High</w:t>
            </w:r>
          </w:p>
        </w:tc>
        <w:tc>
          <w:tcPr>
            <w:tcW w:w="2126" w:type="dxa"/>
          </w:tcPr>
          <w:p w14:paraId="517C8D93"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Highly likely to happen many times.</w:t>
            </w:r>
          </w:p>
        </w:tc>
        <w:tc>
          <w:tcPr>
            <w:tcW w:w="4111" w:type="dxa"/>
          </w:tcPr>
          <w:p w14:paraId="32501047" w14:textId="77777777" w:rsidR="00593AB7"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Cannot deliver much of the strateg</w:t>
            </w:r>
            <w:r w:rsidR="00C35585" w:rsidRPr="00ED60B5">
              <w:rPr>
                <w:rFonts w:cs="Arial"/>
                <w:bCs/>
                <w:sz w:val="22"/>
                <w:szCs w:val="22"/>
                <w:lang w:eastAsia="en-GB"/>
              </w:rPr>
              <w:t xml:space="preserve">y. </w:t>
            </w:r>
          </w:p>
          <w:p w14:paraId="448D3F65" w14:textId="77777777" w:rsidR="00F84BA3" w:rsidRPr="00ED60B5" w:rsidRDefault="00C35585"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 xml:space="preserve">Long term disruption of most </w:t>
            </w:r>
            <w:r w:rsidR="00032738" w:rsidRPr="00ED60B5">
              <w:rPr>
                <w:rFonts w:cs="Arial"/>
                <w:bCs/>
                <w:sz w:val="22"/>
                <w:szCs w:val="22"/>
                <w:lang w:eastAsia="en-GB"/>
              </w:rPr>
              <w:t xml:space="preserve">operations. </w:t>
            </w:r>
          </w:p>
          <w:p w14:paraId="79C5EA18"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Loss of most useable Council reserves.</w:t>
            </w:r>
          </w:p>
        </w:tc>
      </w:tr>
      <w:tr w:rsidR="00032738" w:rsidRPr="00593AB7" w14:paraId="0C9E6A9B" w14:textId="77777777" w:rsidTr="00984121">
        <w:trPr>
          <w:trHeight w:val="1269"/>
        </w:trPr>
        <w:tc>
          <w:tcPr>
            <w:tcW w:w="851" w:type="dxa"/>
          </w:tcPr>
          <w:p w14:paraId="3378C951"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3</w:t>
            </w:r>
          </w:p>
        </w:tc>
        <w:tc>
          <w:tcPr>
            <w:tcW w:w="1701" w:type="dxa"/>
          </w:tcPr>
          <w:p w14:paraId="3BCFE5B8"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Medium - High</w:t>
            </w:r>
          </w:p>
        </w:tc>
        <w:tc>
          <w:tcPr>
            <w:tcW w:w="2126" w:type="dxa"/>
          </w:tcPr>
          <w:p w14:paraId="31AC8DA6"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Likely to happen several times.</w:t>
            </w:r>
          </w:p>
        </w:tc>
        <w:tc>
          <w:tcPr>
            <w:tcW w:w="4111" w:type="dxa"/>
          </w:tcPr>
          <w:p w14:paraId="43C2EFEC"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A significant part of the strategy not delivered.</w:t>
            </w:r>
          </w:p>
          <w:p w14:paraId="287B09AD"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 xml:space="preserve">Long term disruption or a few short term disruption of many operations. </w:t>
            </w:r>
          </w:p>
          <w:p w14:paraId="132EFCA1"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Loss of over 50% of Council reserves.</w:t>
            </w:r>
          </w:p>
        </w:tc>
      </w:tr>
      <w:tr w:rsidR="00032738" w:rsidRPr="00593AB7" w14:paraId="0A18AD4E" w14:textId="77777777" w:rsidTr="00984121">
        <w:trPr>
          <w:trHeight w:val="834"/>
        </w:trPr>
        <w:tc>
          <w:tcPr>
            <w:tcW w:w="851" w:type="dxa"/>
          </w:tcPr>
          <w:p w14:paraId="346C860A"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2</w:t>
            </w:r>
          </w:p>
        </w:tc>
        <w:tc>
          <w:tcPr>
            <w:tcW w:w="1701" w:type="dxa"/>
          </w:tcPr>
          <w:p w14:paraId="425EFD48"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Medium - Low</w:t>
            </w:r>
          </w:p>
        </w:tc>
        <w:tc>
          <w:tcPr>
            <w:tcW w:w="2126" w:type="dxa"/>
          </w:tcPr>
          <w:p w14:paraId="51279037"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Unlikely to happen more than occasionally.</w:t>
            </w:r>
          </w:p>
        </w:tc>
        <w:tc>
          <w:tcPr>
            <w:tcW w:w="4111" w:type="dxa"/>
          </w:tcPr>
          <w:p w14:paraId="75D47EBF"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 xml:space="preserve">Elements of the strategy not delivered. Short term disruption of a few operations. </w:t>
            </w:r>
          </w:p>
          <w:p w14:paraId="740F4D62"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Loss of 25% of Council reserves.</w:t>
            </w:r>
          </w:p>
        </w:tc>
      </w:tr>
      <w:tr w:rsidR="00032738" w:rsidRPr="00593AB7" w14:paraId="3750DD41" w14:textId="77777777" w:rsidTr="00984121">
        <w:trPr>
          <w:trHeight w:val="562"/>
        </w:trPr>
        <w:tc>
          <w:tcPr>
            <w:tcW w:w="851" w:type="dxa"/>
          </w:tcPr>
          <w:p w14:paraId="6FBD30D2"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1</w:t>
            </w:r>
          </w:p>
        </w:tc>
        <w:tc>
          <w:tcPr>
            <w:tcW w:w="1701" w:type="dxa"/>
          </w:tcPr>
          <w:p w14:paraId="4806DDED" w14:textId="77777777" w:rsidR="00032738" w:rsidRPr="00ED60B5" w:rsidRDefault="00032738" w:rsidP="00F94A5A">
            <w:pPr>
              <w:keepNext/>
              <w:overflowPunct/>
              <w:autoSpaceDE/>
              <w:autoSpaceDN/>
              <w:adjustRightInd/>
              <w:spacing w:after="0"/>
              <w:textAlignment w:val="auto"/>
              <w:outlineLvl w:val="2"/>
              <w:rPr>
                <w:rFonts w:cs="Arial"/>
                <w:bCs/>
                <w:color w:val="000000"/>
                <w:sz w:val="22"/>
                <w:szCs w:val="22"/>
                <w:lang w:eastAsia="en-GB"/>
              </w:rPr>
            </w:pPr>
            <w:r w:rsidRPr="00ED60B5">
              <w:rPr>
                <w:rFonts w:cs="Arial"/>
                <w:bCs/>
                <w:color w:val="000000"/>
                <w:sz w:val="22"/>
                <w:szCs w:val="22"/>
                <w:lang w:eastAsia="en-GB"/>
              </w:rPr>
              <w:t>Low</w:t>
            </w:r>
          </w:p>
        </w:tc>
        <w:tc>
          <w:tcPr>
            <w:tcW w:w="2126" w:type="dxa"/>
          </w:tcPr>
          <w:p w14:paraId="4A7CADD4"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Unlikely to happen.</w:t>
            </w:r>
          </w:p>
        </w:tc>
        <w:tc>
          <w:tcPr>
            <w:tcW w:w="4111" w:type="dxa"/>
          </w:tcPr>
          <w:p w14:paraId="2C258AF7" w14:textId="77777777" w:rsidR="00032738" w:rsidRPr="00ED60B5" w:rsidRDefault="00032738" w:rsidP="00F94A5A">
            <w:pPr>
              <w:keepNext/>
              <w:overflowPunct/>
              <w:autoSpaceDE/>
              <w:autoSpaceDN/>
              <w:adjustRightInd/>
              <w:spacing w:after="0"/>
              <w:textAlignment w:val="auto"/>
              <w:outlineLvl w:val="2"/>
              <w:rPr>
                <w:rFonts w:cs="Arial"/>
                <w:bCs/>
                <w:sz w:val="22"/>
                <w:szCs w:val="22"/>
                <w:lang w:eastAsia="en-GB"/>
              </w:rPr>
            </w:pPr>
            <w:r w:rsidRPr="00ED60B5">
              <w:rPr>
                <w:rFonts w:cs="Arial"/>
                <w:bCs/>
                <w:sz w:val="22"/>
                <w:szCs w:val="22"/>
                <w:lang w:eastAsia="en-GB"/>
              </w:rPr>
              <w:t>Trivial and / or short term impact on reserves, strategy and operations.</w:t>
            </w:r>
          </w:p>
        </w:tc>
      </w:tr>
    </w:tbl>
    <w:p w14:paraId="2DA26DAA" w14:textId="77777777" w:rsidR="00DA3AB3" w:rsidRDefault="00DA3AB3" w:rsidP="00032738">
      <w:pPr>
        <w:overflowPunct/>
        <w:autoSpaceDE/>
        <w:autoSpaceDN/>
        <w:adjustRightInd/>
        <w:spacing w:after="0"/>
        <w:ind w:left="709"/>
        <w:jc w:val="both"/>
        <w:textAlignment w:val="auto"/>
        <w:rPr>
          <w:rFonts w:eastAsia="Calibri" w:cs="Arial"/>
          <w:szCs w:val="24"/>
        </w:rPr>
      </w:pPr>
    </w:p>
    <w:p w14:paraId="4F108E95" w14:textId="77777777" w:rsidR="009A7746" w:rsidRDefault="00FE1A4E" w:rsidP="009A7746">
      <w:pPr>
        <w:numPr>
          <w:ilvl w:val="0"/>
          <w:numId w:val="2"/>
        </w:numPr>
        <w:overflowPunct/>
        <w:autoSpaceDE/>
        <w:autoSpaceDN/>
        <w:adjustRightInd/>
        <w:spacing w:after="0"/>
        <w:ind w:left="709" w:hanging="709"/>
        <w:jc w:val="both"/>
        <w:textAlignment w:val="auto"/>
        <w:rPr>
          <w:rFonts w:eastAsia="Calibri" w:cs="Arial"/>
          <w:szCs w:val="24"/>
        </w:rPr>
      </w:pPr>
      <w:r w:rsidRPr="00FE1A4E">
        <w:rPr>
          <w:rFonts w:eastAsia="Calibri" w:cs="Arial"/>
          <w:szCs w:val="24"/>
        </w:rPr>
        <w:t>The second risk assessment</w:t>
      </w:r>
      <w:r w:rsidR="00032738">
        <w:rPr>
          <w:rFonts w:eastAsia="Calibri" w:cs="Arial"/>
          <w:szCs w:val="24"/>
        </w:rPr>
        <w:t xml:space="preserve"> (</w:t>
      </w:r>
      <w:r w:rsidR="00032738" w:rsidRPr="00B071F0">
        <w:rPr>
          <w:rFonts w:eastAsia="Calibri" w:cs="Arial"/>
          <w:i/>
          <w:szCs w:val="24"/>
        </w:rPr>
        <w:t>residual risk</w:t>
      </w:r>
      <w:r w:rsidR="00032738">
        <w:rPr>
          <w:rFonts w:eastAsia="Calibri" w:cs="Arial"/>
          <w:szCs w:val="24"/>
        </w:rPr>
        <w:t>)</w:t>
      </w:r>
      <w:r w:rsidRPr="00FE1A4E">
        <w:rPr>
          <w:rFonts w:eastAsia="Calibri" w:cs="Arial"/>
          <w:szCs w:val="24"/>
        </w:rPr>
        <w:t>, taking the controls into consideration, predominantly lowers the risk score but sometimes it can remain the same.</w:t>
      </w:r>
      <w:r w:rsidR="009A7746">
        <w:rPr>
          <w:rFonts w:eastAsia="Calibri" w:cs="Arial"/>
          <w:szCs w:val="24"/>
        </w:rPr>
        <w:t xml:space="preserve">  The 4Ts of risk management summarises the different strategies that can be used to manage risk: Tolerate; Terminate; Treat; and Transfer.</w:t>
      </w:r>
    </w:p>
    <w:p w14:paraId="3A8D9951" w14:textId="77777777" w:rsidR="00DA3AB3" w:rsidRDefault="00DA3AB3" w:rsidP="009A7746">
      <w:pPr>
        <w:overflowPunct/>
        <w:autoSpaceDE/>
        <w:autoSpaceDN/>
        <w:adjustRightInd/>
        <w:spacing w:after="0"/>
        <w:ind w:left="709"/>
        <w:jc w:val="both"/>
        <w:textAlignment w:val="auto"/>
        <w:rPr>
          <w:rFonts w:eastAsia="Calibri" w:cs="Arial"/>
          <w:szCs w:val="24"/>
        </w:rPr>
      </w:pPr>
    </w:p>
    <w:tbl>
      <w:tblPr>
        <w:tblStyle w:val="TableGrid"/>
        <w:tblW w:w="0" w:type="auto"/>
        <w:tblInd w:w="709" w:type="dxa"/>
        <w:tblLook w:val="04A0" w:firstRow="1" w:lastRow="0" w:firstColumn="1" w:lastColumn="0" w:noHBand="0" w:noVBand="1"/>
      </w:tblPr>
      <w:tblGrid>
        <w:gridCol w:w="1271"/>
        <w:gridCol w:w="7202"/>
      </w:tblGrid>
      <w:tr w:rsidR="009A7746" w:rsidRPr="00593AB7" w14:paraId="4367D39A" w14:textId="77777777" w:rsidTr="00593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shd w:val="clear" w:color="auto" w:fill="D9D9D9" w:themeFill="background1" w:themeFillShade="D9"/>
          </w:tcPr>
          <w:p w14:paraId="6FC763E4" w14:textId="77777777" w:rsidR="009A7746" w:rsidRPr="00ED60B5" w:rsidRDefault="009A7746" w:rsidP="00F94A5A">
            <w:pPr>
              <w:overflowPunct/>
              <w:autoSpaceDE/>
              <w:autoSpaceDN/>
              <w:adjustRightInd/>
              <w:spacing w:after="0"/>
              <w:jc w:val="both"/>
              <w:textAlignment w:val="auto"/>
              <w:rPr>
                <w:rFonts w:eastAsia="Calibri" w:cs="Arial"/>
                <w:b/>
                <w:sz w:val="22"/>
                <w:szCs w:val="22"/>
              </w:rPr>
            </w:pPr>
            <w:r w:rsidRPr="00ED60B5">
              <w:rPr>
                <w:rFonts w:eastAsia="Calibri" w:cs="Arial"/>
                <w:b/>
                <w:sz w:val="22"/>
                <w:szCs w:val="22"/>
              </w:rPr>
              <w:t>Tolerate</w:t>
            </w:r>
          </w:p>
        </w:tc>
        <w:tc>
          <w:tcPr>
            <w:tcW w:w="7202" w:type="dxa"/>
            <w:tcBorders>
              <w:bottom w:val="single" w:sz="4" w:space="0" w:color="auto"/>
            </w:tcBorders>
          </w:tcPr>
          <w:p w14:paraId="4F501405" w14:textId="77777777" w:rsidR="009A7746" w:rsidRPr="00ED60B5" w:rsidRDefault="009A7746" w:rsidP="00F94A5A">
            <w:pPr>
              <w:overflowPunct/>
              <w:autoSpaceDE/>
              <w:autoSpaceDN/>
              <w:adjustRightInd/>
              <w:spacing w:after="0"/>
              <w:jc w:val="both"/>
              <w:textAlignment w:val="auto"/>
              <w:cnfStyle w:val="100000000000" w:firstRow="1"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 xml:space="preserve">Accept the risk.  </w:t>
            </w:r>
          </w:p>
          <w:p w14:paraId="4E1CD6C3" w14:textId="77777777" w:rsidR="009A7746" w:rsidRPr="00ED60B5" w:rsidRDefault="009A7746" w:rsidP="00F94A5A">
            <w:pPr>
              <w:overflowPunct/>
              <w:autoSpaceDE/>
              <w:autoSpaceDN/>
              <w:adjustRightInd/>
              <w:spacing w:after="0"/>
              <w:jc w:val="both"/>
              <w:textAlignment w:val="auto"/>
              <w:cnfStyle w:val="100000000000" w:firstRow="1"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Risks that are accepted still need to be monitored and reviewed.</w:t>
            </w:r>
          </w:p>
        </w:tc>
      </w:tr>
      <w:tr w:rsidR="009A7746" w:rsidRPr="00593AB7" w14:paraId="6A4676E8" w14:textId="77777777" w:rsidTr="00593AB7">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shd w:val="clear" w:color="auto" w:fill="D9D9D9" w:themeFill="background1" w:themeFillShade="D9"/>
          </w:tcPr>
          <w:p w14:paraId="012D8FD8" w14:textId="77777777" w:rsidR="009A7746" w:rsidRPr="00ED60B5" w:rsidRDefault="009A7746" w:rsidP="00F94A5A">
            <w:pPr>
              <w:overflowPunct/>
              <w:autoSpaceDE/>
              <w:autoSpaceDN/>
              <w:adjustRightInd/>
              <w:spacing w:after="0"/>
              <w:jc w:val="both"/>
              <w:textAlignment w:val="auto"/>
              <w:rPr>
                <w:rFonts w:eastAsia="Calibri" w:cs="Arial"/>
                <w:sz w:val="22"/>
                <w:szCs w:val="22"/>
              </w:rPr>
            </w:pPr>
            <w:r w:rsidRPr="00ED60B5">
              <w:rPr>
                <w:rFonts w:eastAsia="Calibri" w:cs="Arial"/>
                <w:sz w:val="22"/>
                <w:szCs w:val="22"/>
              </w:rPr>
              <w:t>Terminate</w:t>
            </w:r>
          </w:p>
        </w:tc>
        <w:tc>
          <w:tcPr>
            <w:tcW w:w="7202" w:type="dxa"/>
            <w:tcBorders>
              <w:top w:val="single" w:sz="4" w:space="0" w:color="auto"/>
            </w:tcBorders>
          </w:tcPr>
          <w:p w14:paraId="4BF3FD3A" w14:textId="77777777" w:rsidR="009A7746" w:rsidRPr="00ED60B5" w:rsidRDefault="009A7746" w:rsidP="00F94A5A">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Eliminate the risk, i.e. by terminating the activity or doing things differently.</w:t>
            </w:r>
          </w:p>
        </w:tc>
      </w:tr>
      <w:tr w:rsidR="009A7746" w:rsidRPr="00593AB7" w14:paraId="07D944B5" w14:textId="77777777" w:rsidTr="00593AB7">
        <w:tc>
          <w:tcPr>
            <w:cnfStyle w:val="001000000000" w:firstRow="0" w:lastRow="0" w:firstColumn="1" w:lastColumn="0" w:oddVBand="0" w:evenVBand="0" w:oddHBand="0" w:evenHBand="0" w:firstRowFirstColumn="0" w:firstRowLastColumn="0" w:lastRowFirstColumn="0" w:lastRowLastColumn="0"/>
            <w:tcW w:w="1271" w:type="dxa"/>
            <w:shd w:val="clear" w:color="auto" w:fill="D9D9D9" w:themeFill="background1" w:themeFillShade="D9"/>
          </w:tcPr>
          <w:p w14:paraId="2C4C899C" w14:textId="77777777" w:rsidR="009A7746" w:rsidRPr="00ED60B5" w:rsidRDefault="009A7746" w:rsidP="00F94A5A">
            <w:pPr>
              <w:overflowPunct/>
              <w:autoSpaceDE/>
              <w:autoSpaceDN/>
              <w:adjustRightInd/>
              <w:spacing w:after="0"/>
              <w:jc w:val="both"/>
              <w:textAlignment w:val="auto"/>
              <w:rPr>
                <w:rFonts w:eastAsia="Calibri" w:cs="Arial"/>
                <w:sz w:val="22"/>
                <w:szCs w:val="22"/>
              </w:rPr>
            </w:pPr>
            <w:r w:rsidRPr="00ED60B5">
              <w:rPr>
                <w:rFonts w:eastAsia="Calibri" w:cs="Arial"/>
                <w:sz w:val="22"/>
                <w:szCs w:val="22"/>
              </w:rPr>
              <w:t>Treat</w:t>
            </w:r>
          </w:p>
        </w:tc>
        <w:tc>
          <w:tcPr>
            <w:tcW w:w="7202" w:type="dxa"/>
          </w:tcPr>
          <w:p w14:paraId="0F47EBA8" w14:textId="77777777" w:rsidR="009A7746" w:rsidRPr="00ED60B5" w:rsidRDefault="009A7746" w:rsidP="00F94A5A">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This is the most widely used approach.</w:t>
            </w:r>
          </w:p>
          <w:p w14:paraId="55285888" w14:textId="77777777" w:rsidR="009A7746" w:rsidRPr="00ED60B5" w:rsidRDefault="009A7746" w:rsidP="00F94A5A">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Reduce the impact and likelihood of the risk occurring through effective control measures.</w:t>
            </w:r>
          </w:p>
        </w:tc>
      </w:tr>
      <w:tr w:rsidR="009A7746" w:rsidRPr="00593AB7" w14:paraId="5ED67313" w14:textId="77777777" w:rsidTr="00593AB7">
        <w:tc>
          <w:tcPr>
            <w:cnfStyle w:val="001000000000" w:firstRow="0" w:lastRow="0" w:firstColumn="1" w:lastColumn="0" w:oddVBand="0" w:evenVBand="0" w:oddHBand="0" w:evenHBand="0" w:firstRowFirstColumn="0" w:firstRowLastColumn="0" w:lastRowFirstColumn="0" w:lastRowLastColumn="0"/>
            <w:tcW w:w="1271" w:type="dxa"/>
            <w:shd w:val="clear" w:color="auto" w:fill="D9D9D9" w:themeFill="background1" w:themeFillShade="D9"/>
          </w:tcPr>
          <w:p w14:paraId="352D8B6D" w14:textId="77777777" w:rsidR="009A7746" w:rsidRPr="00ED60B5" w:rsidRDefault="009A7746" w:rsidP="00F94A5A">
            <w:pPr>
              <w:overflowPunct/>
              <w:autoSpaceDE/>
              <w:autoSpaceDN/>
              <w:adjustRightInd/>
              <w:spacing w:after="0"/>
              <w:jc w:val="both"/>
              <w:textAlignment w:val="auto"/>
              <w:rPr>
                <w:rFonts w:eastAsia="Calibri" w:cs="Arial"/>
                <w:sz w:val="22"/>
                <w:szCs w:val="22"/>
              </w:rPr>
            </w:pPr>
            <w:r w:rsidRPr="00ED60B5">
              <w:rPr>
                <w:rFonts w:eastAsia="Calibri" w:cs="Arial"/>
                <w:sz w:val="22"/>
                <w:szCs w:val="22"/>
              </w:rPr>
              <w:t>Transfer</w:t>
            </w:r>
          </w:p>
        </w:tc>
        <w:tc>
          <w:tcPr>
            <w:tcW w:w="7202" w:type="dxa"/>
          </w:tcPr>
          <w:p w14:paraId="2F4AACDD" w14:textId="77777777" w:rsidR="009A7746" w:rsidRPr="00ED60B5" w:rsidRDefault="009A7746" w:rsidP="00F94A5A">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ED60B5">
              <w:rPr>
                <w:rFonts w:eastAsia="Calibri" w:cs="Arial"/>
                <w:sz w:val="22"/>
                <w:szCs w:val="22"/>
              </w:rPr>
              <w:t>Transfer the implications of the risk to a third party, i.e. insurance.</w:t>
            </w:r>
          </w:p>
        </w:tc>
      </w:tr>
    </w:tbl>
    <w:p w14:paraId="4F4615A1" w14:textId="77777777" w:rsidR="00DA3AB3" w:rsidRPr="00142DF0" w:rsidRDefault="00DA3AB3" w:rsidP="009A7746">
      <w:pPr>
        <w:spacing w:after="0"/>
        <w:ind w:left="709"/>
        <w:jc w:val="both"/>
      </w:pPr>
    </w:p>
    <w:p w14:paraId="726635DE" w14:textId="01D7BB91" w:rsidR="001C1D66" w:rsidRPr="00151C4A" w:rsidRDefault="008E6075" w:rsidP="0018127E">
      <w:pPr>
        <w:numPr>
          <w:ilvl w:val="0"/>
          <w:numId w:val="2"/>
        </w:numPr>
        <w:overflowPunct/>
        <w:autoSpaceDE/>
        <w:autoSpaceDN/>
        <w:adjustRightInd/>
        <w:spacing w:after="0"/>
        <w:ind w:left="709" w:hanging="709"/>
        <w:jc w:val="both"/>
        <w:textAlignment w:val="auto"/>
        <w:rPr>
          <w:rFonts w:eastAsia="Calibri" w:cs="Arial"/>
          <w:szCs w:val="24"/>
        </w:rPr>
      </w:pPr>
      <w:r w:rsidRPr="002C6899">
        <w:rPr>
          <w:rFonts w:cs="Arial"/>
          <w:szCs w:val="24"/>
        </w:rPr>
        <w:t>T</w:t>
      </w:r>
      <w:r w:rsidR="00372639" w:rsidRPr="002C6899">
        <w:rPr>
          <w:rFonts w:cs="Arial"/>
          <w:szCs w:val="24"/>
        </w:rPr>
        <w:t xml:space="preserve">here are </w:t>
      </w:r>
      <w:r w:rsidR="00372639" w:rsidRPr="00663F5E">
        <w:rPr>
          <w:rFonts w:cs="Arial"/>
          <w:szCs w:val="24"/>
        </w:rPr>
        <w:t>currently</w:t>
      </w:r>
      <w:r w:rsidR="004F3E57" w:rsidRPr="00663F5E">
        <w:rPr>
          <w:rFonts w:cs="Arial"/>
          <w:szCs w:val="24"/>
        </w:rPr>
        <w:t xml:space="preserve"> </w:t>
      </w:r>
      <w:r w:rsidR="00E4317C" w:rsidRPr="00151C4A">
        <w:rPr>
          <w:rFonts w:cs="Arial"/>
          <w:szCs w:val="24"/>
        </w:rPr>
        <w:t>37</w:t>
      </w:r>
      <w:r w:rsidR="00742596" w:rsidRPr="00151C4A">
        <w:rPr>
          <w:rFonts w:cs="Arial"/>
          <w:szCs w:val="24"/>
        </w:rPr>
        <w:t xml:space="preserve"> risks on the Corporate Risk Regi</w:t>
      </w:r>
      <w:r w:rsidR="00B133E0" w:rsidRPr="00151C4A">
        <w:rPr>
          <w:rFonts w:cs="Arial"/>
          <w:szCs w:val="24"/>
        </w:rPr>
        <w:t>ster</w:t>
      </w:r>
      <w:r w:rsidR="002F60F2" w:rsidRPr="00151C4A">
        <w:rPr>
          <w:rFonts w:cs="Arial"/>
          <w:szCs w:val="24"/>
        </w:rPr>
        <w:t xml:space="preserve">.  </w:t>
      </w:r>
      <w:r w:rsidR="001C1D66" w:rsidRPr="00151C4A">
        <w:rPr>
          <w:rFonts w:cs="Arial"/>
          <w:szCs w:val="24"/>
        </w:rPr>
        <w:t xml:space="preserve">Since the last update the following </w:t>
      </w:r>
      <w:r w:rsidR="00115339" w:rsidRPr="00151C4A">
        <w:rPr>
          <w:rFonts w:cs="Arial"/>
          <w:szCs w:val="24"/>
        </w:rPr>
        <w:t xml:space="preserve">2 </w:t>
      </w:r>
      <w:r w:rsidR="001C1D66" w:rsidRPr="00151C4A">
        <w:rPr>
          <w:rFonts w:cs="Arial"/>
          <w:szCs w:val="24"/>
        </w:rPr>
        <w:t>risk</w:t>
      </w:r>
      <w:r w:rsidR="00115339" w:rsidRPr="00151C4A">
        <w:rPr>
          <w:rFonts w:cs="Arial"/>
          <w:szCs w:val="24"/>
        </w:rPr>
        <w:t>s have</w:t>
      </w:r>
      <w:r w:rsidR="001C1D66" w:rsidRPr="00151C4A">
        <w:rPr>
          <w:rFonts w:cs="Arial"/>
          <w:szCs w:val="24"/>
        </w:rPr>
        <w:t xml:space="preserve"> been withdrawn from the register</w:t>
      </w:r>
      <w:r w:rsidR="00E4317C" w:rsidRPr="00151C4A">
        <w:rPr>
          <w:rFonts w:cs="Arial"/>
          <w:szCs w:val="24"/>
        </w:rPr>
        <w:t xml:space="preserve"> and 1 new risk added.</w:t>
      </w:r>
    </w:p>
    <w:p w14:paraId="775C3833" w14:textId="6E1C8723" w:rsidR="001C1D66" w:rsidRDefault="001C1D66" w:rsidP="001C1D66">
      <w:pPr>
        <w:overflowPunct/>
        <w:autoSpaceDE/>
        <w:autoSpaceDN/>
        <w:adjustRightInd/>
        <w:spacing w:after="0"/>
        <w:ind w:left="709"/>
        <w:jc w:val="both"/>
        <w:textAlignment w:val="auto"/>
        <w:rPr>
          <w:rFonts w:eastAsia="Calibri" w:cs="Arial"/>
          <w:szCs w:val="24"/>
        </w:rPr>
      </w:pPr>
    </w:p>
    <w:p w14:paraId="5779408D" w14:textId="06A47AB3" w:rsidR="00E4317C" w:rsidRPr="00E4317C" w:rsidRDefault="00E4317C" w:rsidP="001C1D66">
      <w:pPr>
        <w:overflowPunct/>
        <w:autoSpaceDE/>
        <w:autoSpaceDN/>
        <w:adjustRightInd/>
        <w:spacing w:after="0"/>
        <w:ind w:left="709"/>
        <w:jc w:val="both"/>
        <w:textAlignment w:val="auto"/>
        <w:rPr>
          <w:rFonts w:eastAsia="Calibri" w:cs="Arial"/>
          <w:i/>
          <w:szCs w:val="24"/>
        </w:rPr>
      </w:pPr>
      <w:r w:rsidRPr="00E4317C">
        <w:rPr>
          <w:rFonts w:eastAsia="Calibri" w:cs="Arial"/>
          <w:i/>
          <w:szCs w:val="24"/>
        </w:rPr>
        <w:t>Risks Withdrawn</w:t>
      </w:r>
      <w:r>
        <w:rPr>
          <w:rFonts w:eastAsia="Calibri" w:cs="Arial"/>
          <w:i/>
          <w:szCs w:val="24"/>
        </w:rPr>
        <w:t>:</w:t>
      </w:r>
    </w:p>
    <w:p w14:paraId="7CDF4C3D" w14:textId="77777777" w:rsidR="00E4317C" w:rsidRPr="00E4317C" w:rsidRDefault="00E4317C" w:rsidP="001C1D66">
      <w:pPr>
        <w:overflowPunct/>
        <w:autoSpaceDE/>
        <w:autoSpaceDN/>
        <w:adjustRightInd/>
        <w:spacing w:after="0"/>
        <w:ind w:left="709"/>
        <w:jc w:val="both"/>
        <w:textAlignment w:val="auto"/>
        <w:rPr>
          <w:rFonts w:eastAsia="Calibri" w:cs="Arial"/>
          <w:sz w:val="16"/>
          <w:szCs w:val="16"/>
        </w:rPr>
      </w:pPr>
    </w:p>
    <w:tbl>
      <w:tblPr>
        <w:tblStyle w:val="TableGrid"/>
        <w:tblW w:w="8500" w:type="dxa"/>
        <w:tblInd w:w="709" w:type="dxa"/>
        <w:tblLook w:val="04A0" w:firstRow="1" w:lastRow="0" w:firstColumn="1" w:lastColumn="0" w:noHBand="0" w:noVBand="1"/>
      </w:tblPr>
      <w:tblGrid>
        <w:gridCol w:w="1032"/>
        <w:gridCol w:w="3533"/>
        <w:gridCol w:w="3935"/>
      </w:tblGrid>
      <w:tr w:rsidR="001C1D66" w:rsidRPr="00115339" w14:paraId="05BD9F75" w14:textId="77777777" w:rsidTr="001812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2" w:type="dxa"/>
            <w:tcBorders>
              <w:bottom w:val="single" w:sz="4" w:space="0" w:color="auto"/>
            </w:tcBorders>
            <w:shd w:val="clear" w:color="auto" w:fill="D9D9D9" w:themeFill="background1" w:themeFillShade="D9"/>
          </w:tcPr>
          <w:p w14:paraId="0671B603" w14:textId="5DFB89F6" w:rsidR="001C1D66" w:rsidRPr="00115339" w:rsidRDefault="001C1D66" w:rsidP="000C6434">
            <w:pPr>
              <w:overflowPunct/>
              <w:autoSpaceDE/>
              <w:autoSpaceDN/>
              <w:adjustRightInd/>
              <w:spacing w:after="0"/>
              <w:textAlignment w:val="auto"/>
              <w:rPr>
                <w:rFonts w:cs="Arial"/>
                <w:b/>
                <w:sz w:val="22"/>
                <w:szCs w:val="22"/>
              </w:rPr>
            </w:pPr>
            <w:r w:rsidRPr="00115339">
              <w:rPr>
                <w:rFonts w:cs="Arial"/>
                <w:b/>
                <w:sz w:val="22"/>
                <w:szCs w:val="22"/>
              </w:rPr>
              <w:t xml:space="preserve">Risk </w:t>
            </w:r>
            <w:r w:rsidR="000C6434" w:rsidRPr="00115339">
              <w:rPr>
                <w:rFonts w:cs="Arial"/>
                <w:b/>
                <w:sz w:val="22"/>
                <w:szCs w:val="22"/>
              </w:rPr>
              <w:t>r</w:t>
            </w:r>
            <w:r w:rsidRPr="00115339">
              <w:rPr>
                <w:rFonts w:cs="Arial"/>
                <w:b/>
                <w:sz w:val="22"/>
                <w:szCs w:val="22"/>
              </w:rPr>
              <w:t>ef</w:t>
            </w:r>
          </w:p>
        </w:tc>
        <w:tc>
          <w:tcPr>
            <w:tcW w:w="3533" w:type="dxa"/>
            <w:tcBorders>
              <w:bottom w:val="single" w:sz="4" w:space="0" w:color="auto"/>
            </w:tcBorders>
            <w:shd w:val="clear" w:color="auto" w:fill="D9D9D9" w:themeFill="background1" w:themeFillShade="D9"/>
          </w:tcPr>
          <w:p w14:paraId="53603DE5" w14:textId="0A85D1B0" w:rsidR="001C1D66" w:rsidRPr="00115339" w:rsidRDefault="001C1D66"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15339">
              <w:rPr>
                <w:rFonts w:cs="Arial"/>
                <w:b/>
                <w:sz w:val="22"/>
                <w:szCs w:val="22"/>
              </w:rPr>
              <w:t>R</w:t>
            </w:r>
            <w:r w:rsidR="000C6434" w:rsidRPr="00115339">
              <w:rPr>
                <w:rFonts w:cs="Arial"/>
                <w:b/>
                <w:sz w:val="22"/>
                <w:szCs w:val="22"/>
              </w:rPr>
              <w:t>isk d</w:t>
            </w:r>
            <w:r w:rsidRPr="00115339">
              <w:rPr>
                <w:rFonts w:cs="Arial"/>
                <w:b/>
                <w:sz w:val="22"/>
                <w:szCs w:val="22"/>
              </w:rPr>
              <w:t>etails</w:t>
            </w:r>
          </w:p>
        </w:tc>
        <w:tc>
          <w:tcPr>
            <w:tcW w:w="3935" w:type="dxa"/>
            <w:tcBorders>
              <w:bottom w:val="single" w:sz="4" w:space="0" w:color="auto"/>
            </w:tcBorders>
            <w:shd w:val="clear" w:color="auto" w:fill="D9D9D9" w:themeFill="background1" w:themeFillShade="D9"/>
          </w:tcPr>
          <w:p w14:paraId="2E336BDC" w14:textId="77777777" w:rsidR="001C1D66" w:rsidRPr="00115339" w:rsidRDefault="001C1D66"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15339">
              <w:rPr>
                <w:rFonts w:cs="Arial"/>
                <w:b/>
                <w:sz w:val="22"/>
                <w:szCs w:val="22"/>
              </w:rPr>
              <w:t>Comments</w:t>
            </w:r>
          </w:p>
        </w:tc>
      </w:tr>
      <w:tr w:rsidR="00115339" w:rsidRPr="00115339" w14:paraId="048D579D" w14:textId="77777777" w:rsidTr="00115339">
        <w:trPr>
          <w:trHeight w:val="554"/>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569AF863" w14:textId="0A0F9754" w:rsidR="00115339" w:rsidRPr="00115339" w:rsidRDefault="00115339" w:rsidP="00115339">
            <w:pPr>
              <w:overflowPunct/>
              <w:autoSpaceDE/>
              <w:autoSpaceDN/>
              <w:adjustRightInd/>
              <w:spacing w:after="0"/>
              <w:jc w:val="both"/>
              <w:textAlignment w:val="auto"/>
              <w:rPr>
                <w:rFonts w:cs="Arial"/>
                <w:b w:val="0"/>
                <w:sz w:val="22"/>
                <w:szCs w:val="22"/>
              </w:rPr>
            </w:pPr>
            <w:r w:rsidRPr="00115339">
              <w:rPr>
                <w:rFonts w:cs="Arial"/>
                <w:b w:val="0"/>
                <w:color w:val="000000"/>
                <w:sz w:val="22"/>
                <w:szCs w:val="22"/>
                <w:lang w:eastAsia="en-GB"/>
              </w:rPr>
              <w:t>LBC0097</w:t>
            </w:r>
          </w:p>
        </w:tc>
        <w:tc>
          <w:tcPr>
            <w:tcW w:w="3533" w:type="dxa"/>
            <w:shd w:val="clear" w:color="auto" w:fill="auto"/>
          </w:tcPr>
          <w:p w14:paraId="132D27C4" w14:textId="38608EB0" w:rsidR="00115339" w:rsidRPr="00115339" w:rsidRDefault="00115339" w:rsidP="0011533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r w:rsidRPr="00115339">
              <w:rPr>
                <w:rFonts w:cs="Arial"/>
                <w:color w:val="000000"/>
                <w:sz w:val="22"/>
                <w:szCs w:val="22"/>
                <w:lang w:eastAsia="en-GB"/>
              </w:rPr>
              <w:t>Risk of severe business disruption as a result of a cyber-attack (e.g. ransomware).</w:t>
            </w:r>
          </w:p>
          <w:p w14:paraId="1237C03D" w14:textId="2C731BC4" w:rsidR="00115339" w:rsidRPr="00115339" w:rsidRDefault="00115339" w:rsidP="0011533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935" w:type="dxa"/>
            <w:shd w:val="clear" w:color="auto" w:fill="auto"/>
          </w:tcPr>
          <w:p w14:paraId="4F0B6E25" w14:textId="72160A0C" w:rsidR="00115339" w:rsidRPr="00FC208D" w:rsidRDefault="00115339" w:rsidP="00F73377">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C208D">
              <w:rPr>
                <w:rFonts w:cs="Arial"/>
                <w:sz w:val="22"/>
                <w:szCs w:val="22"/>
              </w:rPr>
              <w:t>Risk withdrawn, as this is a duplication in cyber risk:</w:t>
            </w:r>
            <w:r w:rsidR="00F73377" w:rsidRPr="00FC208D">
              <w:rPr>
                <w:rFonts w:cs="Arial"/>
                <w:sz w:val="22"/>
                <w:szCs w:val="22"/>
              </w:rPr>
              <w:t xml:space="preserve"> </w:t>
            </w:r>
            <w:r w:rsidRPr="00FC208D">
              <w:rPr>
                <w:rFonts w:cs="Arial"/>
                <w:sz w:val="22"/>
                <w:szCs w:val="22"/>
              </w:rPr>
              <w:t>As a result of a cyber-attack (e.g. ransomware) Council data is ex-filtrated by criminals, and confidential data is published (Risk Ref. LBC0098).</w:t>
            </w:r>
          </w:p>
        </w:tc>
      </w:tr>
      <w:tr w:rsidR="00115339" w:rsidRPr="00115339" w14:paraId="4624EAB2" w14:textId="77777777" w:rsidTr="003D753C">
        <w:trPr>
          <w:trHeight w:val="777"/>
        </w:trPr>
        <w:tc>
          <w:tcPr>
            <w:cnfStyle w:val="001000000000" w:firstRow="0" w:lastRow="0" w:firstColumn="1" w:lastColumn="0" w:oddVBand="0" w:evenVBand="0" w:oddHBand="0" w:evenHBand="0" w:firstRowFirstColumn="0" w:firstRowLastColumn="0" w:lastRowFirstColumn="0" w:lastRowLastColumn="0"/>
            <w:tcW w:w="1032" w:type="dxa"/>
            <w:shd w:val="clear" w:color="auto" w:fill="auto"/>
          </w:tcPr>
          <w:p w14:paraId="6A2EDF75" w14:textId="475642BC" w:rsidR="00115339" w:rsidRPr="00115339" w:rsidRDefault="00115339" w:rsidP="00115339">
            <w:pPr>
              <w:overflowPunct/>
              <w:autoSpaceDE/>
              <w:autoSpaceDN/>
              <w:adjustRightInd/>
              <w:spacing w:after="0"/>
              <w:jc w:val="both"/>
              <w:textAlignment w:val="auto"/>
              <w:rPr>
                <w:rFonts w:cs="Arial"/>
                <w:b w:val="0"/>
                <w:sz w:val="22"/>
                <w:szCs w:val="22"/>
              </w:rPr>
            </w:pPr>
            <w:r w:rsidRPr="00115339">
              <w:rPr>
                <w:rFonts w:cs="Arial"/>
                <w:b w:val="0"/>
                <w:color w:val="000000"/>
                <w:sz w:val="22"/>
                <w:szCs w:val="22"/>
                <w:lang w:eastAsia="en-GB"/>
              </w:rPr>
              <w:t>LBC0099</w:t>
            </w:r>
          </w:p>
        </w:tc>
        <w:tc>
          <w:tcPr>
            <w:tcW w:w="3533" w:type="dxa"/>
            <w:shd w:val="clear" w:color="auto" w:fill="auto"/>
          </w:tcPr>
          <w:p w14:paraId="534B12B8" w14:textId="77777777" w:rsidR="00115339" w:rsidRPr="00115339" w:rsidRDefault="00115339" w:rsidP="0011533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r w:rsidRPr="00115339">
              <w:rPr>
                <w:rFonts w:cs="Arial"/>
                <w:color w:val="000000"/>
                <w:sz w:val="22"/>
                <w:szCs w:val="22"/>
                <w:lang w:eastAsia="en-GB"/>
              </w:rPr>
              <w:t>There is a risk that the council will suffer financial loss or reputational damage as a result of email phishing, or social engineering.</w:t>
            </w:r>
          </w:p>
          <w:p w14:paraId="0219F051" w14:textId="77777777" w:rsidR="00115339" w:rsidRPr="00115339" w:rsidRDefault="00115339" w:rsidP="0011533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p>
          <w:p w14:paraId="233F75FB" w14:textId="3825143D" w:rsidR="00115339" w:rsidRPr="00115339" w:rsidRDefault="00115339" w:rsidP="00115339">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15339">
              <w:rPr>
                <w:rFonts w:cs="Arial"/>
                <w:color w:val="000000"/>
                <w:sz w:val="22"/>
                <w:szCs w:val="22"/>
                <w:lang w:eastAsia="en-GB"/>
              </w:rPr>
              <w:t>For example; staff being duped into paying false invoices, or false changes of bank details to pay vendors or staff.</w:t>
            </w:r>
          </w:p>
        </w:tc>
        <w:tc>
          <w:tcPr>
            <w:tcW w:w="3935" w:type="dxa"/>
            <w:shd w:val="clear" w:color="auto" w:fill="auto"/>
          </w:tcPr>
          <w:p w14:paraId="549DD5EE" w14:textId="6CEC9507" w:rsidR="00115339" w:rsidRPr="00FC208D" w:rsidRDefault="00115339" w:rsidP="00F73377">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C208D">
              <w:rPr>
                <w:rFonts w:cs="Arial"/>
                <w:sz w:val="22"/>
                <w:szCs w:val="22"/>
              </w:rPr>
              <w:t>Risk withdrawn, as this is a duplication in cyber risk:</w:t>
            </w:r>
            <w:r w:rsidR="00F73377" w:rsidRPr="00FC208D">
              <w:rPr>
                <w:rFonts w:cs="Arial"/>
                <w:sz w:val="22"/>
                <w:szCs w:val="22"/>
              </w:rPr>
              <w:t xml:space="preserve"> </w:t>
            </w:r>
            <w:r w:rsidRPr="00FC208D">
              <w:rPr>
                <w:rFonts w:cs="Arial"/>
                <w:sz w:val="22"/>
                <w:szCs w:val="22"/>
              </w:rPr>
              <w:t>As a result of a cyber-attack (e.g. ransomware) Council data is ex-filtrated by criminals, and confidential data is published (Risk Ref. LBC0098).</w:t>
            </w:r>
          </w:p>
        </w:tc>
      </w:tr>
    </w:tbl>
    <w:p w14:paraId="0BA9A6D3" w14:textId="3E101433" w:rsidR="001C1D66" w:rsidRDefault="001C1D66" w:rsidP="001C1D66">
      <w:pPr>
        <w:overflowPunct/>
        <w:autoSpaceDE/>
        <w:autoSpaceDN/>
        <w:adjustRightInd/>
        <w:spacing w:after="0"/>
        <w:ind w:left="709"/>
        <w:jc w:val="both"/>
        <w:textAlignment w:val="auto"/>
        <w:rPr>
          <w:rFonts w:eastAsia="Calibri" w:cs="Arial"/>
          <w:szCs w:val="24"/>
        </w:rPr>
      </w:pPr>
    </w:p>
    <w:p w14:paraId="09E3B961" w14:textId="29BAD6E0" w:rsidR="00E4317C" w:rsidRPr="00E4317C" w:rsidRDefault="004514EF" w:rsidP="001C1D66">
      <w:pPr>
        <w:overflowPunct/>
        <w:autoSpaceDE/>
        <w:autoSpaceDN/>
        <w:adjustRightInd/>
        <w:spacing w:after="0"/>
        <w:ind w:left="709"/>
        <w:jc w:val="both"/>
        <w:textAlignment w:val="auto"/>
        <w:rPr>
          <w:rFonts w:eastAsia="Calibri" w:cs="Arial"/>
          <w:i/>
          <w:szCs w:val="24"/>
        </w:rPr>
      </w:pPr>
      <w:r>
        <w:rPr>
          <w:rFonts w:eastAsia="Calibri" w:cs="Arial"/>
          <w:i/>
          <w:szCs w:val="24"/>
        </w:rPr>
        <w:t>New Risk a</w:t>
      </w:r>
      <w:r w:rsidR="00E4317C" w:rsidRPr="00E4317C">
        <w:rPr>
          <w:rFonts w:eastAsia="Calibri" w:cs="Arial"/>
          <w:i/>
          <w:szCs w:val="24"/>
        </w:rPr>
        <w:t>dded</w:t>
      </w:r>
      <w:r w:rsidR="00E4317C">
        <w:rPr>
          <w:rFonts w:eastAsia="Calibri" w:cs="Arial"/>
          <w:i/>
          <w:szCs w:val="24"/>
        </w:rPr>
        <w:t xml:space="preserve"> to the Corporate Risk Register</w:t>
      </w:r>
      <w:r w:rsidR="00E4317C" w:rsidRPr="00E4317C">
        <w:rPr>
          <w:rFonts w:eastAsia="Calibri" w:cs="Arial"/>
          <w:i/>
          <w:szCs w:val="24"/>
        </w:rPr>
        <w:t>:</w:t>
      </w:r>
    </w:p>
    <w:p w14:paraId="6FDA6D54" w14:textId="29A12049" w:rsidR="00E4317C" w:rsidRPr="00E4317C" w:rsidRDefault="00E4317C" w:rsidP="001C1D66">
      <w:pPr>
        <w:overflowPunct/>
        <w:autoSpaceDE/>
        <w:autoSpaceDN/>
        <w:adjustRightInd/>
        <w:spacing w:after="0"/>
        <w:ind w:left="709"/>
        <w:jc w:val="both"/>
        <w:textAlignment w:val="auto"/>
        <w:rPr>
          <w:rFonts w:eastAsia="Calibri" w:cs="Arial"/>
          <w:sz w:val="16"/>
          <w:szCs w:val="16"/>
        </w:rPr>
      </w:pPr>
    </w:p>
    <w:tbl>
      <w:tblPr>
        <w:tblStyle w:val="TableGrid"/>
        <w:tblW w:w="8500" w:type="dxa"/>
        <w:tblInd w:w="709" w:type="dxa"/>
        <w:tblLook w:val="04A0" w:firstRow="1" w:lastRow="0" w:firstColumn="1" w:lastColumn="0" w:noHBand="0" w:noVBand="1"/>
      </w:tblPr>
      <w:tblGrid>
        <w:gridCol w:w="1032"/>
        <w:gridCol w:w="3499"/>
        <w:gridCol w:w="3969"/>
      </w:tblGrid>
      <w:tr w:rsidR="00E4317C" w:rsidRPr="00151C4A" w14:paraId="320A22DD" w14:textId="77777777" w:rsidTr="00DB57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2" w:type="dxa"/>
            <w:tcBorders>
              <w:bottom w:val="single" w:sz="4" w:space="0" w:color="auto"/>
            </w:tcBorders>
            <w:shd w:val="clear" w:color="auto" w:fill="D9D9D9" w:themeFill="background1" w:themeFillShade="D9"/>
          </w:tcPr>
          <w:p w14:paraId="7B3F86BC" w14:textId="77777777" w:rsidR="00E4317C" w:rsidRPr="00151C4A" w:rsidRDefault="00E4317C" w:rsidP="00DB5726">
            <w:pPr>
              <w:overflowPunct/>
              <w:autoSpaceDE/>
              <w:autoSpaceDN/>
              <w:adjustRightInd/>
              <w:spacing w:after="0"/>
              <w:textAlignment w:val="auto"/>
              <w:rPr>
                <w:rFonts w:cs="Arial"/>
                <w:b/>
                <w:sz w:val="22"/>
                <w:szCs w:val="22"/>
              </w:rPr>
            </w:pPr>
            <w:r w:rsidRPr="00151C4A">
              <w:rPr>
                <w:rFonts w:cs="Arial"/>
                <w:b/>
                <w:sz w:val="22"/>
                <w:szCs w:val="22"/>
              </w:rPr>
              <w:t>Risk ref</w:t>
            </w:r>
          </w:p>
        </w:tc>
        <w:tc>
          <w:tcPr>
            <w:tcW w:w="3499" w:type="dxa"/>
            <w:tcBorders>
              <w:bottom w:val="single" w:sz="4" w:space="0" w:color="auto"/>
            </w:tcBorders>
            <w:shd w:val="clear" w:color="auto" w:fill="D9D9D9" w:themeFill="background1" w:themeFillShade="D9"/>
          </w:tcPr>
          <w:p w14:paraId="4F20CA50" w14:textId="77777777" w:rsidR="00E4317C" w:rsidRPr="00151C4A" w:rsidRDefault="00E4317C" w:rsidP="00DB5726">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51C4A">
              <w:rPr>
                <w:rFonts w:cs="Arial"/>
                <w:b/>
                <w:sz w:val="22"/>
                <w:szCs w:val="22"/>
              </w:rPr>
              <w:t>Risk details</w:t>
            </w:r>
          </w:p>
        </w:tc>
        <w:tc>
          <w:tcPr>
            <w:tcW w:w="3969" w:type="dxa"/>
            <w:tcBorders>
              <w:bottom w:val="single" w:sz="4" w:space="0" w:color="auto"/>
            </w:tcBorders>
            <w:shd w:val="clear" w:color="auto" w:fill="D9D9D9" w:themeFill="background1" w:themeFillShade="D9"/>
          </w:tcPr>
          <w:p w14:paraId="37FE4E2F" w14:textId="3DFFF838" w:rsidR="00E4317C" w:rsidRPr="00151C4A" w:rsidRDefault="00E4317C" w:rsidP="00DB5726">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151C4A">
              <w:rPr>
                <w:rFonts w:cs="Arial"/>
                <w:b/>
                <w:sz w:val="22"/>
                <w:szCs w:val="22"/>
              </w:rPr>
              <w:t>Comments</w:t>
            </w:r>
          </w:p>
        </w:tc>
      </w:tr>
      <w:tr w:rsidR="00E4317C" w:rsidRPr="00DC2E71" w14:paraId="6BD4BB5C" w14:textId="77777777" w:rsidTr="004514EF">
        <w:trPr>
          <w:trHeight w:val="2588"/>
        </w:trPr>
        <w:tc>
          <w:tcPr>
            <w:cnfStyle w:val="001000000000" w:firstRow="0" w:lastRow="0" w:firstColumn="1" w:lastColumn="0" w:oddVBand="0" w:evenVBand="0" w:oddHBand="0" w:evenHBand="0" w:firstRowFirstColumn="0" w:firstRowLastColumn="0" w:lastRowFirstColumn="0" w:lastRowLastColumn="0"/>
            <w:tcW w:w="1032" w:type="dxa"/>
            <w:tcBorders>
              <w:top w:val="single" w:sz="4" w:space="0" w:color="auto"/>
              <w:bottom w:val="single" w:sz="4" w:space="0" w:color="auto"/>
            </w:tcBorders>
          </w:tcPr>
          <w:p w14:paraId="49E83E31" w14:textId="77777777" w:rsidR="00E4317C" w:rsidRPr="00151C4A" w:rsidRDefault="00E4317C" w:rsidP="00DB5726">
            <w:pPr>
              <w:overflowPunct/>
              <w:autoSpaceDE/>
              <w:autoSpaceDN/>
              <w:adjustRightInd/>
              <w:spacing w:after="0"/>
              <w:jc w:val="both"/>
              <w:textAlignment w:val="auto"/>
              <w:rPr>
                <w:rFonts w:cs="Arial"/>
                <w:b w:val="0"/>
                <w:sz w:val="22"/>
                <w:szCs w:val="22"/>
              </w:rPr>
            </w:pPr>
            <w:r w:rsidRPr="00151C4A">
              <w:rPr>
                <w:rFonts w:cs="Arial"/>
                <w:b w:val="0"/>
                <w:sz w:val="22"/>
                <w:szCs w:val="22"/>
              </w:rPr>
              <w:t>LBC0102</w:t>
            </w:r>
          </w:p>
        </w:tc>
        <w:tc>
          <w:tcPr>
            <w:tcW w:w="3499" w:type="dxa"/>
            <w:shd w:val="clear" w:color="auto" w:fill="auto"/>
          </w:tcPr>
          <w:p w14:paraId="6DA6C9B2"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51C4A">
              <w:rPr>
                <w:rFonts w:cs="Arial"/>
                <w:sz w:val="22"/>
                <w:szCs w:val="22"/>
              </w:rPr>
              <w:t>Misinformation / Disinformation through Fraudulent Impersonation.</w:t>
            </w:r>
          </w:p>
          <w:p w14:paraId="3294A115"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0AF4805E"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 xml:space="preserve">Inherent Risk Score = 6 </w:t>
            </w:r>
          </w:p>
          <w:p w14:paraId="60ED528A"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(Medium-High)</w:t>
            </w:r>
          </w:p>
          <w:p w14:paraId="0B846169"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(Likelihood 2 x Consequences 3)</w:t>
            </w:r>
          </w:p>
          <w:p w14:paraId="7099B47C"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p>
          <w:p w14:paraId="53ADF3DA"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 xml:space="preserve">Residual Risk Score = 4 </w:t>
            </w:r>
          </w:p>
          <w:p w14:paraId="5370E74F" w14:textId="77777777"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(Medium-Low)</w:t>
            </w:r>
          </w:p>
          <w:p w14:paraId="53DCF524" w14:textId="601FE39D" w:rsidR="00E4317C" w:rsidRPr="00151C4A" w:rsidRDefault="00E4317C" w:rsidP="00DB5726">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i/>
                <w:sz w:val="22"/>
                <w:szCs w:val="22"/>
              </w:rPr>
            </w:pPr>
            <w:r w:rsidRPr="00151C4A">
              <w:rPr>
                <w:rFonts w:cs="Arial"/>
                <w:i/>
                <w:sz w:val="22"/>
                <w:szCs w:val="22"/>
              </w:rPr>
              <w:t>(Likelihood 2 x Consequences 2)</w:t>
            </w:r>
          </w:p>
        </w:tc>
        <w:tc>
          <w:tcPr>
            <w:tcW w:w="3969" w:type="dxa"/>
            <w:shd w:val="clear" w:color="auto" w:fill="auto"/>
          </w:tcPr>
          <w:p w14:paraId="5EB54995" w14:textId="24DB997D" w:rsidR="00E4317C" w:rsidRPr="00DC2E71" w:rsidRDefault="00E4317C" w:rsidP="00DB5726">
            <w:pPr>
              <w:spacing w:after="0"/>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151C4A">
              <w:rPr>
                <w:rFonts w:cs="Arial"/>
                <w:sz w:val="22"/>
                <w:szCs w:val="22"/>
              </w:rPr>
              <w:t>New risk identified through Horizon Scanning – monitoring the situation as the risk likelihood is expected to grow.</w:t>
            </w:r>
          </w:p>
        </w:tc>
      </w:tr>
    </w:tbl>
    <w:p w14:paraId="2560523C" w14:textId="77777777" w:rsidR="00E4317C" w:rsidRDefault="00E4317C" w:rsidP="001C1D66">
      <w:pPr>
        <w:overflowPunct/>
        <w:autoSpaceDE/>
        <w:autoSpaceDN/>
        <w:adjustRightInd/>
        <w:spacing w:after="0"/>
        <w:ind w:left="709"/>
        <w:jc w:val="both"/>
        <w:textAlignment w:val="auto"/>
        <w:rPr>
          <w:rFonts w:eastAsia="Calibri" w:cs="Arial"/>
          <w:szCs w:val="24"/>
        </w:rPr>
      </w:pPr>
    </w:p>
    <w:p w14:paraId="0F482354" w14:textId="68F5BABE" w:rsidR="002C6899" w:rsidRPr="002C6899" w:rsidRDefault="00CF2A49" w:rsidP="0018127E">
      <w:pPr>
        <w:numPr>
          <w:ilvl w:val="0"/>
          <w:numId w:val="2"/>
        </w:numPr>
        <w:overflowPunct/>
        <w:autoSpaceDE/>
        <w:autoSpaceDN/>
        <w:adjustRightInd/>
        <w:spacing w:after="0"/>
        <w:ind w:left="709" w:hanging="709"/>
        <w:jc w:val="both"/>
        <w:textAlignment w:val="auto"/>
        <w:rPr>
          <w:rFonts w:eastAsia="Calibri" w:cs="Arial"/>
          <w:szCs w:val="24"/>
        </w:rPr>
      </w:pPr>
      <w:r>
        <w:t>Appendix B</w:t>
      </w:r>
      <w:r w:rsidR="002F60F2" w:rsidRPr="002C6899">
        <w:t xml:space="preserve"> provides details of the corporate risks; the (4x4) residual risk scores; and the direction of travel for each risk</w:t>
      </w:r>
      <w:r w:rsidR="002C6899" w:rsidRPr="002C6899">
        <w:t xml:space="preserve"> </w:t>
      </w:r>
      <w:r w:rsidR="002F60F2" w:rsidRPr="002C6899">
        <w:t>since the last update.</w:t>
      </w:r>
      <w:r w:rsidR="002C6899">
        <w:t xml:space="preserve">  A</w:t>
      </w:r>
      <w:r w:rsidR="002C6899" w:rsidRPr="002C6899">
        <w:rPr>
          <w:rFonts w:eastAsia="Calibri" w:cs="Arial"/>
          <w:szCs w:val="24"/>
        </w:rPr>
        <w:t xml:space="preserve"> review of the direction of travel indicates that the risk prioritisation appears to have:</w:t>
      </w:r>
    </w:p>
    <w:p w14:paraId="5B66876B" w14:textId="18D111DD" w:rsidR="002C6899" w:rsidRDefault="002B548E" w:rsidP="002C6899">
      <w:pPr>
        <w:pStyle w:val="ListParagraph"/>
        <w:numPr>
          <w:ilvl w:val="0"/>
          <w:numId w:val="8"/>
        </w:numPr>
        <w:overflowPunct/>
        <w:autoSpaceDE/>
        <w:autoSpaceDN/>
        <w:adjustRightInd/>
        <w:spacing w:after="0"/>
        <w:jc w:val="both"/>
        <w:textAlignment w:val="auto"/>
        <w:rPr>
          <w:rFonts w:eastAsia="Calibri" w:cs="Arial"/>
          <w:szCs w:val="24"/>
        </w:rPr>
      </w:pPr>
      <w:r>
        <w:rPr>
          <w:rFonts w:eastAsia="Calibri" w:cs="Arial"/>
          <w:szCs w:val="24"/>
        </w:rPr>
        <w:t xml:space="preserve">Remained the </w:t>
      </w:r>
      <w:r w:rsidRPr="00663F5E">
        <w:rPr>
          <w:rFonts w:eastAsia="Calibri" w:cs="Arial"/>
          <w:szCs w:val="24"/>
        </w:rPr>
        <w:t xml:space="preserve">same for </w:t>
      </w:r>
      <w:r w:rsidR="001C1D66" w:rsidRPr="00663F5E">
        <w:rPr>
          <w:rFonts w:eastAsia="Calibri" w:cs="Arial"/>
          <w:szCs w:val="24"/>
        </w:rPr>
        <w:t>34</w:t>
      </w:r>
      <w:r w:rsidR="00115339">
        <w:rPr>
          <w:rFonts w:eastAsia="Calibri" w:cs="Arial"/>
          <w:szCs w:val="24"/>
        </w:rPr>
        <w:t xml:space="preserve"> risks.</w:t>
      </w:r>
    </w:p>
    <w:p w14:paraId="4EDA4AB7" w14:textId="131B0075" w:rsidR="00115339" w:rsidRDefault="002C6899" w:rsidP="002C6899">
      <w:pPr>
        <w:pStyle w:val="ListParagraph"/>
        <w:numPr>
          <w:ilvl w:val="0"/>
          <w:numId w:val="8"/>
        </w:numPr>
        <w:overflowPunct/>
        <w:autoSpaceDE/>
        <w:autoSpaceDN/>
        <w:adjustRightInd/>
        <w:spacing w:after="0"/>
        <w:jc w:val="both"/>
        <w:textAlignment w:val="auto"/>
        <w:rPr>
          <w:rFonts w:eastAsia="Calibri" w:cs="Arial"/>
          <w:szCs w:val="24"/>
        </w:rPr>
      </w:pPr>
      <w:r w:rsidRPr="00663F5E">
        <w:rPr>
          <w:rFonts w:eastAsia="Calibri" w:cs="Arial"/>
          <w:szCs w:val="24"/>
        </w:rPr>
        <w:t xml:space="preserve">Reduced for </w:t>
      </w:r>
      <w:r w:rsidR="00115339">
        <w:rPr>
          <w:rFonts w:eastAsia="Calibri" w:cs="Arial"/>
          <w:szCs w:val="24"/>
        </w:rPr>
        <w:t>1 risk.</w:t>
      </w:r>
    </w:p>
    <w:p w14:paraId="3E514785" w14:textId="7BA7463E" w:rsidR="00115339" w:rsidRDefault="00115339" w:rsidP="00115339">
      <w:pPr>
        <w:pStyle w:val="ListParagraph"/>
        <w:numPr>
          <w:ilvl w:val="0"/>
          <w:numId w:val="8"/>
        </w:numPr>
        <w:overflowPunct/>
        <w:autoSpaceDE/>
        <w:autoSpaceDN/>
        <w:adjustRightInd/>
        <w:spacing w:after="0"/>
        <w:jc w:val="both"/>
        <w:textAlignment w:val="auto"/>
        <w:rPr>
          <w:rFonts w:eastAsia="Calibri" w:cs="Arial"/>
          <w:szCs w:val="24"/>
        </w:rPr>
      </w:pPr>
      <w:r>
        <w:rPr>
          <w:rFonts w:eastAsia="Calibri" w:cs="Arial"/>
          <w:szCs w:val="24"/>
        </w:rPr>
        <w:t>Increased for 1 risk.</w:t>
      </w:r>
      <w:r w:rsidR="002C6899" w:rsidRPr="00663F5E">
        <w:rPr>
          <w:rFonts w:eastAsia="Calibri" w:cs="Arial"/>
          <w:szCs w:val="24"/>
        </w:rPr>
        <w:t xml:space="preserve"> </w:t>
      </w:r>
    </w:p>
    <w:p w14:paraId="123C4F6A" w14:textId="77777777" w:rsidR="00E4317C" w:rsidRPr="00E4317C" w:rsidRDefault="00E4317C" w:rsidP="00E4317C">
      <w:pPr>
        <w:pStyle w:val="ListParagraph"/>
        <w:numPr>
          <w:ilvl w:val="0"/>
          <w:numId w:val="8"/>
        </w:numPr>
        <w:rPr>
          <w:rFonts w:eastAsia="Calibri" w:cs="Arial"/>
          <w:szCs w:val="24"/>
        </w:rPr>
      </w:pPr>
      <w:r w:rsidRPr="00151C4A">
        <w:rPr>
          <w:rFonts w:eastAsia="Calibri" w:cs="Arial"/>
          <w:szCs w:val="24"/>
        </w:rPr>
        <w:t>For 1 risk it is not applicable, as this is a new risk added to the register.</w:t>
      </w:r>
    </w:p>
    <w:p w14:paraId="361FEACB" w14:textId="77777777" w:rsidR="00E4317C" w:rsidRDefault="00E4317C" w:rsidP="00E4317C">
      <w:pPr>
        <w:pStyle w:val="ListParagraph"/>
        <w:overflowPunct/>
        <w:autoSpaceDE/>
        <w:autoSpaceDN/>
        <w:adjustRightInd/>
        <w:spacing w:after="0"/>
        <w:ind w:left="709"/>
        <w:jc w:val="both"/>
        <w:textAlignment w:val="auto"/>
        <w:rPr>
          <w:rFonts w:eastAsia="Calibri" w:cs="Arial"/>
          <w:szCs w:val="24"/>
        </w:rPr>
      </w:pPr>
    </w:p>
    <w:p w14:paraId="7775E71C" w14:textId="343A2811" w:rsidR="002C6899" w:rsidRPr="00115339" w:rsidRDefault="00115339" w:rsidP="00115339">
      <w:pPr>
        <w:pStyle w:val="ListParagraph"/>
        <w:numPr>
          <w:ilvl w:val="0"/>
          <w:numId w:val="2"/>
        </w:numPr>
        <w:overflowPunct/>
        <w:autoSpaceDE/>
        <w:autoSpaceDN/>
        <w:adjustRightInd/>
        <w:spacing w:after="0"/>
        <w:ind w:left="709" w:hanging="709"/>
        <w:jc w:val="both"/>
        <w:textAlignment w:val="auto"/>
        <w:rPr>
          <w:rFonts w:eastAsia="Calibri" w:cs="Arial"/>
          <w:szCs w:val="24"/>
        </w:rPr>
      </w:pPr>
      <w:r w:rsidRPr="00115339">
        <w:rPr>
          <w:rFonts w:eastAsia="Calibri" w:cs="Arial"/>
          <w:szCs w:val="24"/>
        </w:rPr>
        <w:t>Further</w:t>
      </w:r>
      <w:r w:rsidR="002C6899" w:rsidRPr="00115339">
        <w:rPr>
          <w:rFonts w:eastAsia="Calibri" w:cs="Arial"/>
          <w:szCs w:val="24"/>
        </w:rPr>
        <w:t xml:space="preserve"> details </w:t>
      </w:r>
      <w:r w:rsidR="003A34F2">
        <w:rPr>
          <w:rFonts w:eastAsia="Calibri" w:cs="Arial"/>
          <w:szCs w:val="24"/>
        </w:rPr>
        <w:t xml:space="preserve">of the 2 risks </w:t>
      </w:r>
      <w:r>
        <w:rPr>
          <w:rFonts w:eastAsia="Calibri" w:cs="Arial"/>
          <w:szCs w:val="24"/>
        </w:rPr>
        <w:t xml:space="preserve">where the prioritisation has changed </w:t>
      </w:r>
      <w:r w:rsidR="003A34F2">
        <w:rPr>
          <w:rFonts w:eastAsia="Calibri" w:cs="Arial"/>
          <w:szCs w:val="24"/>
        </w:rPr>
        <w:t xml:space="preserve">is </w:t>
      </w:r>
      <w:r w:rsidR="007B09C9" w:rsidRPr="00115339">
        <w:rPr>
          <w:rFonts w:eastAsia="Calibri" w:cs="Arial"/>
          <w:szCs w:val="24"/>
        </w:rPr>
        <w:t>provided in the table below.</w:t>
      </w:r>
    </w:p>
    <w:p w14:paraId="56109949" w14:textId="375D7BAB" w:rsidR="007B09C9" w:rsidRDefault="007B09C9" w:rsidP="007B09C9">
      <w:pPr>
        <w:overflowPunct/>
        <w:autoSpaceDE/>
        <w:autoSpaceDN/>
        <w:adjustRightInd/>
        <w:spacing w:after="0"/>
        <w:jc w:val="both"/>
        <w:textAlignment w:val="auto"/>
        <w:rPr>
          <w:rFonts w:eastAsia="Calibri" w:cs="Arial"/>
          <w:szCs w:val="24"/>
        </w:rPr>
      </w:pPr>
    </w:p>
    <w:tbl>
      <w:tblPr>
        <w:tblStyle w:val="TableGrid"/>
        <w:tblW w:w="8500" w:type="dxa"/>
        <w:tblInd w:w="709" w:type="dxa"/>
        <w:tblLook w:val="04A0" w:firstRow="1" w:lastRow="0" w:firstColumn="1" w:lastColumn="0" w:noHBand="0" w:noVBand="1"/>
      </w:tblPr>
      <w:tblGrid>
        <w:gridCol w:w="1142"/>
        <w:gridCol w:w="3484"/>
        <w:gridCol w:w="3874"/>
      </w:tblGrid>
      <w:tr w:rsidR="007B09C9" w:rsidRPr="008B7B1F" w14:paraId="197FED90" w14:textId="77777777" w:rsidTr="008B7B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2" w:type="dxa"/>
            <w:tcBorders>
              <w:bottom w:val="single" w:sz="4" w:space="0" w:color="auto"/>
            </w:tcBorders>
            <w:shd w:val="clear" w:color="auto" w:fill="D9D9D9" w:themeFill="background1" w:themeFillShade="D9"/>
          </w:tcPr>
          <w:p w14:paraId="7E2FBD6D" w14:textId="00198BFF" w:rsidR="007B09C9" w:rsidRPr="008B7B1F" w:rsidRDefault="000C6434" w:rsidP="0018127E">
            <w:pPr>
              <w:overflowPunct/>
              <w:autoSpaceDE/>
              <w:autoSpaceDN/>
              <w:adjustRightInd/>
              <w:spacing w:after="0"/>
              <w:textAlignment w:val="auto"/>
              <w:rPr>
                <w:rFonts w:cs="Arial"/>
                <w:b/>
                <w:sz w:val="22"/>
                <w:szCs w:val="22"/>
              </w:rPr>
            </w:pPr>
            <w:r w:rsidRPr="008B7B1F">
              <w:rPr>
                <w:rFonts w:cs="Arial"/>
                <w:b/>
                <w:sz w:val="22"/>
                <w:szCs w:val="22"/>
              </w:rPr>
              <w:t>Risk r</w:t>
            </w:r>
            <w:r w:rsidR="007B09C9" w:rsidRPr="008B7B1F">
              <w:rPr>
                <w:rFonts w:cs="Arial"/>
                <w:b/>
                <w:sz w:val="22"/>
                <w:szCs w:val="22"/>
              </w:rPr>
              <w:t>ef</w:t>
            </w:r>
          </w:p>
        </w:tc>
        <w:tc>
          <w:tcPr>
            <w:tcW w:w="3484" w:type="dxa"/>
            <w:tcBorders>
              <w:bottom w:val="single" w:sz="4" w:space="0" w:color="auto"/>
            </w:tcBorders>
            <w:shd w:val="clear" w:color="auto" w:fill="D9D9D9" w:themeFill="background1" w:themeFillShade="D9"/>
          </w:tcPr>
          <w:p w14:paraId="088307B8" w14:textId="6D1E7FD4" w:rsidR="007B09C9" w:rsidRPr="008B7B1F" w:rsidRDefault="000C6434"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8B7B1F">
              <w:rPr>
                <w:rFonts w:cs="Arial"/>
                <w:b/>
                <w:sz w:val="22"/>
                <w:szCs w:val="22"/>
              </w:rPr>
              <w:t>Risk d</w:t>
            </w:r>
            <w:r w:rsidR="007B09C9" w:rsidRPr="008B7B1F">
              <w:rPr>
                <w:rFonts w:cs="Arial"/>
                <w:b/>
                <w:sz w:val="22"/>
                <w:szCs w:val="22"/>
              </w:rPr>
              <w:t>etails</w:t>
            </w:r>
          </w:p>
        </w:tc>
        <w:tc>
          <w:tcPr>
            <w:tcW w:w="3874" w:type="dxa"/>
            <w:tcBorders>
              <w:bottom w:val="single" w:sz="4" w:space="0" w:color="auto"/>
            </w:tcBorders>
            <w:shd w:val="clear" w:color="auto" w:fill="D9D9D9" w:themeFill="background1" w:themeFillShade="D9"/>
          </w:tcPr>
          <w:p w14:paraId="25CBE0E8" w14:textId="77777777" w:rsidR="007B09C9" w:rsidRPr="008B7B1F" w:rsidRDefault="007B09C9" w:rsidP="0018127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cs="Arial"/>
                <w:b/>
                <w:sz w:val="22"/>
                <w:szCs w:val="22"/>
              </w:rPr>
            </w:pPr>
            <w:r w:rsidRPr="008B7B1F">
              <w:rPr>
                <w:rFonts w:cs="Arial"/>
                <w:b/>
                <w:sz w:val="22"/>
                <w:szCs w:val="22"/>
              </w:rPr>
              <w:t>Comments</w:t>
            </w:r>
          </w:p>
        </w:tc>
      </w:tr>
      <w:tr w:rsidR="008B7B1F" w:rsidRPr="008B7B1F" w14:paraId="20FD2737" w14:textId="77777777" w:rsidTr="008B7B1F">
        <w:trPr>
          <w:trHeight w:val="1937"/>
        </w:trPr>
        <w:tc>
          <w:tcPr>
            <w:cnfStyle w:val="001000000000" w:firstRow="0" w:lastRow="0" w:firstColumn="1" w:lastColumn="0" w:oddVBand="0" w:evenVBand="0" w:oddHBand="0" w:evenHBand="0" w:firstRowFirstColumn="0" w:firstRowLastColumn="0" w:lastRowFirstColumn="0" w:lastRowLastColumn="0"/>
            <w:tcW w:w="1142" w:type="dxa"/>
            <w:shd w:val="clear" w:color="auto" w:fill="auto"/>
          </w:tcPr>
          <w:p w14:paraId="5BC97983" w14:textId="7136BB26" w:rsidR="008B7B1F" w:rsidRPr="008B7B1F" w:rsidRDefault="008B7B1F" w:rsidP="008B7B1F">
            <w:pPr>
              <w:overflowPunct/>
              <w:autoSpaceDE/>
              <w:autoSpaceDN/>
              <w:adjustRightInd/>
              <w:spacing w:after="0"/>
              <w:jc w:val="both"/>
              <w:textAlignment w:val="auto"/>
              <w:rPr>
                <w:rFonts w:cs="Arial"/>
                <w:b w:val="0"/>
                <w:sz w:val="22"/>
                <w:szCs w:val="22"/>
              </w:rPr>
            </w:pPr>
            <w:r w:rsidRPr="008B7B1F">
              <w:rPr>
                <w:rFonts w:cs="Arial"/>
                <w:b w:val="0"/>
                <w:color w:val="000000"/>
                <w:sz w:val="22"/>
                <w:szCs w:val="22"/>
                <w:lang w:eastAsia="en-GB"/>
              </w:rPr>
              <w:t>LBC0062</w:t>
            </w:r>
          </w:p>
        </w:tc>
        <w:tc>
          <w:tcPr>
            <w:tcW w:w="3484" w:type="dxa"/>
            <w:shd w:val="clear" w:color="auto" w:fill="auto"/>
          </w:tcPr>
          <w:p w14:paraId="5B478C60" w14:textId="5BB68775" w:rsidR="008B7B1F" w:rsidRPr="008B7B1F"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8B7B1F">
              <w:rPr>
                <w:rFonts w:cs="Arial"/>
                <w:color w:val="000000"/>
                <w:sz w:val="22"/>
                <w:szCs w:val="22"/>
                <w:lang w:eastAsia="en-GB"/>
              </w:rPr>
              <w:t>Failure to act appropriately following receipt of a safeguarding alert  in line with multi agency procedures for safeguarding alerts leading to death or serious harm to an adult at risk.</w:t>
            </w:r>
          </w:p>
        </w:tc>
        <w:tc>
          <w:tcPr>
            <w:tcW w:w="3874" w:type="dxa"/>
            <w:tcBorders>
              <w:top w:val="single" w:sz="4" w:space="0" w:color="auto"/>
              <w:bottom w:val="single" w:sz="4" w:space="0" w:color="auto"/>
            </w:tcBorders>
            <w:shd w:val="clear" w:color="auto" w:fill="auto"/>
          </w:tcPr>
          <w:p w14:paraId="7607FE10" w14:textId="77777777" w:rsidR="00C34550" w:rsidRPr="00C34550" w:rsidRDefault="008B7B1F" w:rsidP="00C34550">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C34550">
              <w:rPr>
                <w:rFonts w:cs="Arial"/>
                <w:sz w:val="22"/>
                <w:szCs w:val="22"/>
              </w:rPr>
              <w:t>Safeguarding concerns received are being processed and actioned in accordance with our local measures.</w:t>
            </w:r>
            <w:r w:rsidR="00C34550" w:rsidRPr="00C34550">
              <w:rPr>
                <w:rFonts w:cs="Arial"/>
                <w:sz w:val="22"/>
                <w:szCs w:val="22"/>
              </w:rPr>
              <w:t xml:space="preserve">  There are strategies in place to enable improved reporting and analysis.</w:t>
            </w:r>
          </w:p>
          <w:p w14:paraId="29F99E8B" w14:textId="77777777" w:rsidR="008B7B1F" w:rsidRPr="00C34550"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0F433962" w14:textId="161472B9" w:rsidR="008B7B1F" w:rsidRPr="008B7B1F" w:rsidRDefault="00A07950"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C34550">
              <w:rPr>
                <w:rFonts w:cs="Arial"/>
                <w:sz w:val="22"/>
                <w:szCs w:val="22"/>
              </w:rPr>
              <w:t>A review of the control measures in place has resulted in a reduction in the residual risk score from 9 (Medium – High) to 6 (Medium – High).</w:t>
            </w:r>
          </w:p>
        </w:tc>
      </w:tr>
      <w:tr w:rsidR="008B7B1F" w:rsidRPr="008B7B1F" w14:paraId="1282D7AD" w14:textId="77777777" w:rsidTr="00E644BC">
        <w:trPr>
          <w:trHeight w:val="1883"/>
        </w:trPr>
        <w:tc>
          <w:tcPr>
            <w:cnfStyle w:val="001000000000" w:firstRow="0" w:lastRow="0" w:firstColumn="1" w:lastColumn="0" w:oddVBand="0" w:evenVBand="0" w:oddHBand="0" w:evenHBand="0" w:firstRowFirstColumn="0" w:firstRowLastColumn="0" w:lastRowFirstColumn="0" w:lastRowLastColumn="0"/>
            <w:tcW w:w="1142" w:type="dxa"/>
            <w:shd w:val="clear" w:color="auto" w:fill="auto"/>
          </w:tcPr>
          <w:p w14:paraId="2089BD20" w14:textId="77777777" w:rsidR="008B7B1F" w:rsidRPr="008B7B1F" w:rsidRDefault="008B7B1F" w:rsidP="008B7B1F">
            <w:pPr>
              <w:overflowPunct/>
              <w:autoSpaceDE/>
              <w:autoSpaceDN/>
              <w:adjustRightInd/>
              <w:spacing w:after="0"/>
              <w:textAlignment w:val="auto"/>
              <w:rPr>
                <w:rFonts w:cs="Arial"/>
                <w:b w:val="0"/>
                <w:color w:val="000000"/>
                <w:sz w:val="22"/>
                <w:szCs w:val="22"/>
                <w:lang w:eastAsia="en-GB"/>
              </w:rPr>
            </w:pPr>
            <w:r w:rsidRPr="008B7B1F">
              <w:rPr>
                <w:rFonts w:cs="Arial"/>
                <w:b w:val="0"/>
                <w:color w:val="000000"/>
                <w:sz w:val="22"/>
                <w:szCs w:val="22"/>
                <w:lang w:eastAsia="en-GB"/>
              </w:rPr>
              <w:t>LBC0075</w:t>
            </w:r>
          </w:p>
          <w:p w14:paraId="27D358BA" w14:textId="34C1B491" w:rsidR="008B7B1F" w:rsidRPr="008B7B1F" w:rsidRDefault="008B7B1F" w:rsidP="008B7B1F">
            <w:pPr>
              <w:overflowPunct/>
              <w:autoSpaceDE/>
              <w:autoSpaceDN/>
              <w:adjustRightInd/>
              <w:spacing w:after="0"/>
              <w:jc w:val="both"/>
              <w:textAlignment w:val="auto"/>
              <w:rPr>
                <w:rFonts w:cs="Arial"/>
                <w:b w:val="0"/>
                <w:sz w:val="22"/>
                <w:szCs w:val="22"/>
              </w:rPr>
            </w:pPr>
          </w:p>
        </w:tc>
        <w:tc>
          <w:tcPr>
            <w:tcW w:w="3484" w:type="dxa"/>
            <w:shd w:val="clear" w:color="auto" w:fill="auto"/>
          </w:tcPr>
          <w:p w14:paraId="71FF9310" w14:textId="5F294120" w:rsidR="008B7B1F" w:rsidRPr="008B7B1F"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8B7B1F">
              <w:rPr>
                <w:rFonts w:cs="Arial"/>
                <w:color w:val="000000"/>
                <w:sz w:val="22"/>
                <w:szCs w:val="22"/>
                <w:lang w:eastAsia="en-GB"/>
              </w:rPr>
              <w:t>Failure to comply with data protection legislation risks enforcement action and possible fine, along with adverse publicity and civil action by data subjects.</w:t>
            </w:r>
          </w:p>
        </w:tc>
        <w:tc>
          <w:tcPr>
            <w:tcW w:w="3874" w:type="dxa"/>
            <w:tcBorders>
              <w:top w:val="single" w:sz="4" w:space="0" w:color="auto"/>
              <w:bottom w:val="single" w:sz="4" w:space="0" w:color="auto"/>
            </w:tcBorders>
            <w:shd w:val="clear" w:color="auto" w:fill="auto"/>
          </w:tcPr>
          <w:p w14:paraId="3CF2AADB" w14:textId="77777777" w:rsidR="008B7B1F" w:rsidRPr="00730DED"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730DED">
              <w:rPr>
                <w:rFonts w:cs="Arial"/>
                <w:sz w:val="22"/>
                <w:szCs w:val="22"/>
              </w:rPr>
              <w:t>There have been breaches within the last year that have been reported to the ICO.</w:t>
            </w:r>
          </w:p>
          <w:p w14:paraId="44915C9D" w14:textId="77777777" w:rsidR="008B7B1F" w:rsidRPr="00730DED"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p>
          <w:p w14:paraId="74B9AF31" w14:textId="179AD0B3" w:rsidR="008B7B1F" w:rsidRPr="008B7B1F" w:rsidRDefault="008B7B1F" w:rsidP="008B7B1F">
            <w:pPr>
              <w:overflowPunct/>
              <w:autoSpaceDE/>
              <w:autoSpaceDN/>
              <w:adjustRightInd/>
              <w:spacing w:after="0"/>
              <w:jc w:val="both"/>
              <w:textAlignment w:val="auto"/>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730DED">
              <w:rPr>
                <w:rFonts w:cs="Arial"/>
                <w:sz w:val="22"/>
                <w:szCs w:val="22"/>
              </w:rPr>
              <w:t>This has resulted in the residual risk score increasing from 4 (Medium – Low) to 6 (Medium – High).</w:t>
            </w:r>
          </w:p>
        </w:tc>
      </w:tr>
    </w:tbl>
    <w:p w14:paraId="66A0EE63" w14:textId="77777777" w:rsidR="007B09C9" w:rsidRPr="002F60F2" w:rsidRDefault="007B09C9" w:rsidP="002F60F2">
      <w:pPr>
        <w:overflowPunct/>
        <w:autoSpaceDE/>
        <w:autoSpaceDN/>
        <w:adjustRightInd/>
        <w:spacing w:after="0"/>
        <w:ind w:left="709"/>
        <w:jc w:val="both"/>
        <w:textAlignment w:val="auto"/>
        <w:rPr>
          <w:rFonts w:eastAsia="Calibri" w:cs="Arial"/>
          <w:szCs w:val="24"/>
        </w:rPr>
      </w:pPr>
    </w:p>
    <w:p w14:paraId="1E6EDD57" w14:textId="26C4BB18" w:rsidR="00FF3F0B" w:rsidRDefault="00FF3F0B" w:rsidP="00115339">
      <w:pPr>
        <w:numPr>
          <w:ilvl w:val="0"/>
          <w:numId w:val="2"/>
        </w:numPr>
        <w:overflowPunct/>
        <w:autoSpaceDE/>
        <w:autoSpaceDN/>
        <w:adjustRightInd/>
        <w:spacing w:after="0"/>
        <w:ind w:left="709" w:hanging="709"/>
        <w:jc w:val="both"/>
        <w:textAlignment w:val="auto"/>
        <w:rPr>
          <w:rFonts w:eastAsia="Calibri" w:cs="Arial"/>
          <w:szCs w:val="24"/>
        </w:rPr>
      </w:pPr>
      <w:r w:rsidRPr="00151C4A">
        <w:rPr>
          <w:rFonts w:eastAsia="Calibri" w:cs="Arial"/>
          <w:szCs w:val="24"/>
        </w:rPr>
        <w:t xml:space="preserve">The heat map </w:t>
      </w:r>
      <w:r w:rsidR="00E655D7" w:rsidRPr="00151C4A">
        <w:rPr>
          <w:rFonts w:eastAsia="Calibri" w:cs="Arial"/>
          <w:szCs w:val="24"/>
        </w:rPr>
        <w:t xml:space="preserve">(4x4 matrix) </w:t>
      </w:r>
      <w:r w:rsidRPr="00151C4A">
        <w:rPr>
          <w:rFonts w:eastAsia="Calibri" w:cs="Arial"/>
          <w:szCs w:val="24"/>
        </w:rPr>
        <w:t>below p</w:t>
      </w:r>
      <w:r w:rsidR="00EC4C01" w:rsidRPr="00151C4A">
        <w:rPr>
          <w:rFonts w:eastAsia="Calibri" w:cs="Arial"/>
          <w:szCs w:val="24"/>
        </w:rPr>
        <w:t>lots the residual</w:t>
      </w:r>
      <w:r w:rsidR="00EC4C01" w:rsidRPr="00663F5E">
        <w:rPr>
          <w:rFonts w:eastAsia="Calibri" w:cs="Arial"/>
          <w:szCs w:val="24"/>
        </w:rPr>
        <w:t xml:space="preserve"> risk scores for</w:t>
      </w:r>
      <w:r w:rsidRPr="00663F5E">
        <w:rPr>
          <w:rFonts w:eastAsia="Calibri" w:cs="Arial"/>
          <w:szCs w:val="24"/>
        </w:rPr>
        <w:t xml:space="preserve"> each corporate risk, </w:t>
      </w:r>
      <w:r w:rsidR="00EC4C01" w:rsidRPr="00663F5E">
        <w:rPr>
          <w:rFonts w:eastAsia="Calibri" w:cs="Arial"/>
          <w:szCs w:val="24"/>
        </w:rPr>
        <w:t>based on the likelihood of it</w:t>
      </w:r>
      <w:r w:rsidR="00EC4C01" w:rsidRPr="002F60F2">
        <w:rPr>
          <w:rFonts w:eastAsia="Calibri" w:cs="Arial"/>
          <w:szCs w:val="24"/>
        </w:rPr>
        <w:t xml:space="preserve"> occurring and the impact on the council in the event that it did occur, </w:t>
      </w:r>
      <w:r w:rsidRPr="002F60F2">
        <w:rPr>
          <w:rFonts w:eastAsia="Calibri" w:cs="Arial"/>
          <w:szCs w:val="24"/>
        </w:rPr>
        <w:t>to provide an overview of the council’s risk landscape.  The heat map shows that the greatest number of risks are currently assessed by Risk Owner</w:t>
      </w:r>
      <w:r w:rsidR="00694B8D" w:rsidRPr="002F60F2">
        <w:rPr>
          <w:rFonts w:eastAsia="Calibri" w:cs="Arial"/>
          <w:szCs w:val="24"/>
        </w:rPr>
        <w:t>s as medium-high priority</w:t>
      </w:r>
      <w:r w:rsidR="00A36403" w:rsidRPr="002F60F2">
        <w:rPr>
          <w:rFonts w:eastAsia="Calibri" w:cs="Arial"/>
          <w:szCs w:val="24"/>
        </w:rPr>
        <w:t xml:space="preserve">, </w:t>
      </w:r>
      <w:r w:rsidR="002B669C" w:rsidRPr="002F60F2">
        <w:rPr>
          <w:rFonts w:eastAsia="Calibri" w:cs="Arial"/>
          <w:szCs w:val="24"/>
        </w:rPr>
        <w:t xml:space="preserve">and </w:t>
      </w:r>
      <w:r w:rsidR="00BC391E" w:rsidRPr="002F60F2">
        <w:rPr>
          <w:rFonts w:eastAsia="Calibri" w:cs="Arial"/>
          <w:szCs w:val="24"/>
        </w:rPr>
        <w:t>4</w:t>
      </w:r>
      <w:r w:rsidRPr="002F60F2">
        <w:rPr>
          <w:rFonts w:eastAsia="Calibri" w:cs="Arial"/>
          <w:szCs w:val="24"/>
        </w:rPr>
        <w:t xml:space="preserve"> risks have been assessed as high priority.</w:t>
      </w:r>
      <w:r w:rsidR="00F13123" w:rsidRPr="002F60F2">
        <w:rPr>
          <w:rFonts w:eastAsia="Calibri" w:cs="Arial"/>
          <w:szCs w:val="24"/>
        </w:rPr>
        <w:t xml:space="preserve">  The risks</w:t>
      </w:r>
      <w:r w:rsidR="00190889" w:rsidRPr="002F60F2">
        <w:rPr>
          <w:rFonts w:eastAsia="Calibri" w:cs="Arial"/>
          <w:szCs w:val="24"/>
        </w:rPr>
        <w:t xml:space="preserve"> have been plotted according to </w:t>
      </w:r>
      <w:r w:rsidR="0006503F" w:rsidRPr="002F60F2">
        <w:rPr>
          <w:rFonts w:eastAsia="Calibri" w:cs="Arial"/>
          <w:szCs w:val="24"/>
        </w:rPr>
        <w:t xml:space="preserve">their </w:t>
      </w:r>
      <w:r w:rsidR="00F13123" w:rsidRPr="002F60F2">
        <w:rPr>
          <w:rFonts w:eastAsia="Calibri" w:cs="Arial"/>
          <w:szCs w:val="24"/>
        </w:rPr>
        <w:t>risk reference</w:t>
      </w:r>
      <w:r w:rsidR="00190889" w:rsidRPr="002F60F2">
        <w:rPr>
          <w:rFonts w:eastAsia="Calibri" w:cs="Arial"/>
          <w:szCs w:val="24"/>
        </w:rPr>
        <w:t xml:space="preserve"> numbers.  </w:t>
      </w:r>
      <w:r w:rsidR="0014317E" w:rsidRPr="002F60F2">
        <w:rPr>
          <w:rFonts w:eastAsia="Calibri" w:cs="Arial"/>
          <w:szCs w:val="24"/>
        </w:rPr>
        <w:t xml:space="preserve">Further details on the corporate risks are </w:t>
      </w:r>
      <w:r w:rsidR="00A12958" w:rsidRPr="002F60F2">
        <w:rPr>
          <w:rFonts w:eastAsia="Calibri" w:cs="Arial"/>
          <w:szCs w:val="24"/>
        </w:rPr>
        <w:t xml:space="preserve">provided </w:t>
      </w:r>
      <w:r w:rsidR="004F4E08" w:rsidRPr="002F60F2">
        <w:rPr>
          <w:rFonts w:eastAsia="Calibri" w:cs="Arial"/>
          <w:szCs w:val="24"/>
        </w:rPr>
        <w:t xml:space="preserve">in Appendix </w:t>
      </w:r>
      <w:r w:rsidR="00CF2A49">
        <w:rPr>
          <w:rFonts w:eastAsia="Calibri" w:cs="Arial"/>
          <w:szCs w:val="24"/>
        </w:rPr>
        <w:t>B</w:t>
      </w:r>
      <w:r w:rsidR="0014317E" w:rsidRPr="002F60F2">
        <w:rPr>
          <w:rFonts w:eastAsia="Calibri" w:cs="Arial"/>
          <w:szCs w:val="24"/>
        </w:rPr>
        <w:t>.</w:t>
      </w:r>
    </w:p>
    <w:p w14:paraId="10674E88" w14:textId="77777777" w:rsidR="00C82B78" w:rsidRDefault="00C82B78" w:rsidP="00C82B78">
      <w:pPr>
        <w:overflowPunct/>
        <w:autoSpaceDE/>
        <w:autoSpaceDN/>
        <w:adjustRightInd/>
        <w:spacing w:after="0"/>
        <w:ind w:left="709"/>
        <w:jc w:val="both"/>
        <w:textAlignment w:val="auto"/>
        <w:rPr>
          <w:rFonts w:eastAsia="Calibri" w:cs="Arial"/>
          <w:szCs w:val="24"/>
        </w:rPr>
      </w:pPr>
    </w:p>
    <w:p w14:paraId="64722AC9" w14:textId="6F843255" w:rsidR="00533856" w:rsidRDefault="008610B7" w:rsidP="00533856">
      <w:pPr>
        <w:overflowPunct/>
        <w:autoSpaceDE/>
        <w:autoSpaceDN/>
        <w:adjustRightInd/>
        <w:spacing w:after="0"/>
        <w:jc w:val="center"/>
        <w:textAlignment w:val="auto"/>
        <w:rPr>
          <w:rFonts w:eastAsia="Calibri" w:cs="Arial"/>
          <w:szCs w:val="24"/>
        </w:rPr>
      </w:pPr>
      <w:r w:rsidRPr="008610B7">
        <w:rPr>
          <w:rFonts w:eastAsia="Calibri"/>
          <w:noProof/>
          <w:lang w:eastAsia="en-GB"/>
        </w:rPr>
        <w:drawing>
          <wp:inline distT="0" distB="0" distL="0" distR="0" wp14:anchorId="4CD59285" wp14:editId="4631E63C">
            <wp:extent cx="4409038" cy="432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5881" cy="4349747"/>
                    </a:xfrm>
                    <a:prstGeom prst="rect">
                      <a:avLst/>
                    </a:prstGeom>
                    <a:noFill/>
                    <a:ln>
                      <a:noFill/>
                    </a:ln>
                  </pic:spPr>
                </pic:pic>
              </a:graphicData>
            </a:graphic>
          </wp:inline>
        </w:drawing>
      </w:r>
    </w:p>
    <w:p w14:paraId="73D73718" w14:textId="6368CAAA" w:rsidR="00BC391E" w:rsidRPr="0002442F" w:rsidRDefault="00BC391E" w:rsidP="00D32553">
      <w:pPr>
        <w:overflowPunct/>
        <w:autoSpaceDE/>
        <w:autoSpaceDN/>
        <w:adjustRightInd/>
        <w:spacing w:after="0"/>
        <w:ind w:left="709"/>
        <w:jc w:val="center"/>
        <w:textAlignment w:val="auto"/>
        <w:rPr>
          <w:rFonts w:eastAsia="Calibri" w:cs="Arial"/>
          <w:szCs w:val="24"/>
        </w:rPr>
      </w:pPr>
    </w:p>
    <w:p w14:paraId="5F84A0BC" w14:textId="02DC8243" w:rsidR="008E6075" w:rsidRPr="000A7F8C" w:rsidRDefault="00B33DE8" w:rsidP="00115339">
      <w:pPr>
        <w:numPr>
          <w:ilvl w:val="0"/>
          <w:numId w:val="2"/>
        </w:numPr>
        <w:overflowPunct/>
        <w:autoSpaceDE/>
        <w:autoSpaceDN/>
        <w:adjustRightInd/>
        <w:spacing w:after="0"/>
        <w:ind w:left="709" w:hanging="709"/>
        <w:jc w:val="both"/>
        <w:textAlignment w:val="auto"/>
        <w:rPr>
          <w:rFonts w:eastAsia="Calibri" w:cs="Arial"/>
          <w:szCs w:val="24"/>
        </w:rPr>
      </w:pPr>
      <w:r>
        <w:t xml:space="preserve">Details </w:t>
      </w:r>
      <w:r w:rsidRPr="001A0F24">
        <w:t>of</w:t>
      </w:r>
      <w:r w:rsidR="00A40733" w:rsidRPr="001A0F24">
        <w:t xml:space="preserve"> </w:t>
      </w:r>
      <w:r w:rsidR="002B669C" w:rsidRPr="001A0F24">
        <w:t xml:space="preserve">the </w:t>
      </w:r>
      <w:r w:rsidR="00BC391E">
        <w:t>4</w:t>
      </w:r>
      <w:r w:rsidR="008E6075" w:rsidRPr="001A0F24">
        <w:t xml:space="preserve"> high priority</w:t>
      </w:r>
      <w:r w:rsidR="008E6075" w:rsidRPr="008F4D68">
        <w:t xml:space="preserve"> risks and </w:t>
      </w:r>
      <w:r w:rsidR="002F130D">
        <w:t xml:space="preserve">an update on </w:t>
      </w:r>
      <w:r w:rsidR="008E6075" w:rsidRPr="008F4D68">
        <w:t xml:space="preserve">the control measures in place to manage these risks is </w:t>
      </w:r>
      <w:r w:rsidR="008E6075">
        <w:t xml:space="preserve">provided </w:t>
      </w:r>
      <w:r w:rsidR="00404CA1">
        <w:t xml:space="preserve">in the table </w:t>
      </w:r>
      <w:r w:rsidR="008E6075" w:rsidRPr="008F4D68">
        <w:t>below.</w:t>
      </w:r>
    </w:p>
    <w:p w14:paraId="7E17368B" w14:textId="77777777" w:rsidR="008E6075" w:rsidRDefault="008E6075" w:rsidP="00C60936">
      <w:pPr>
        <w:overflowPunct/>
        <w:autoSpaceDE/>
        <w:autoSpaceDN/>
        <w:adjustRightInd/>
        <w:spacing w:after="0"/>
        <w:ind w:left="709"/>
        <w:jc w:val="both"/>
        <w:textAlignment w:val="auto"/>
        <w:rPr>
          <w:rFonts w:eastAsia="Calibri" w:cs="Arial"/>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4595"/>
      </w:tblGrid>
      <w:tr w:rsidR="00A20E89" w:rsidRPr="004F4E08" w14:paraId="4790CE8F" w14:textId="77777777" w:rsidTr="00AB6918">
        <w:trPr>
          <w:trHeight w:val="358"/>
          <w:tblHeader/>
        </w:trPr>
        <w:tc>
          <w:tcPr>
            <w:tcW w:w="3883" w:type="dxa"/>
            <w:shd w:val="clear" w:color="auto" w:fill="D9D9D9"/>
          </w:tcPr>
          <w:p w14:paraId="5B946210" w14:textId="5984C1EF" w:rsidR="00C60936" w:rsidRPr="00B91B2F" w:rsidRDefault="000C6434" w:rsidP="0006503F">
            <w:pPr>
              <w:overflowPunct/>
              <w:autoSpaceDE/>
              <w:autoSpaceDN/>
              <w:adjustRightInd/>
              <w:spacing w:after="0"/>
              <w:jc w:val="center"/>
              <w:textAlignment w:val="auto"/>
              <w:rPr>
                <w:rFonts w:cs="Arial"/>
                <w:b/>
                <w:bCs/>
                <w:sz w:val="22"/>
                <w:szCs w:val="22"/>
                <w:lang w:eastAsia="en-GB"/>
              </w:rPr>
            </w:pPr>
            <w:r>
              <w:rPr>
                <w:rFonts w:cs="Arial"/>
                <w:b/>
                <w:bCs/>
                <w:sz w:val="22"/>
                <w:szCs w:val="22"/>
                <w:lang w:eastAsia="en-GB"/>
              </w:rPr>
              <w:t>Risk d</w:t>
            </w:r>
            <w:r w:rsidR="00C60936" w:rsidRPr="00B91B2F">
              <w:rPr>
                <w:rFonts w:cs="Arial"/>
                <w:b/>
                <w:bCs/>
                <w:sz w:val="22"/>
                <w:szCs w:val="22"/>
                <w:lang w:eastAsia="en-GB"/>
              </w:rPr>
              <w:t>etails</w:t>
            </w:r>
          </w:p>
        </w:tc>
        <w:tc>
          <w:tcPr>
            <w:tcW w:w="4595" w:type="dxa"/>
            <w:shd w:val="clear" w:color="auto" w:fill="D9D9D9"/>
          </w:tcPr>
          <w:p w14:paraId="6682EB7C" w14:textId="0C2172EC" w:rsidR="00C60936" w:rsidRPr="003A34F2" w:rsidRDefault="000C6434" w:rsidP="000C6434">
            <w:pPr>
              <w:overflowPunct/>
              <w:autoSpaceDE/>
              <w:autoSpaceDN/>
              <w:adjustRightInd/>
              <w:spacing w:after="0"/>
              <w:jc w:val="center"/>
              <w:textAlignment w:val="auto"/>
              <w:rPr>
                <w:rFonts w:cs="Arial"/>
                <w:b/>
                <w:bCs/>
                <w:sz w:val="22"/>
                <w:szCs w:val="22"/>
                <w:highlight w:val="yellow"/>
                <w:lang w:eastAsia="en-GB"/>
              </w:rPr>
            </w:pPr>
            <w:r w:rsidRPr="00DB5F28">
              <w:rPr>
                <w:rFonts w:cs="Arial"/>
                <w:b/>
                <w:bCs/>
                <w:sz w:val="22"/>
                <w:szCs w:val="22"/>
                <w:lang w:eastAsia="en-GB"/>
              </w:rPr>
              <w:t>Control m</w:t>
            </w:r>
            <w:r w:rsidR="00C60936" w:rsidRPr="00DB5F28">
              <w:rPr>
                <w:rFonts w:cs="Arial"/>
                <w:b/>
                <w:bCs/>
                <w:sz w:val="22"/>
                <w:szCs w:val="22"/>
                <w:lang w:eastAsia="en-GB"/>
              </w:rPr>
              <w:t xml:space="preserve">easure </w:t>
            </w:r>
            <w:r w:rsidRPr="00DB5F28">
              <w:rPr>
                <w:rFonts w:cs="Arial"/>
                <w:b/>
                <w:bCs/>
                <w:sz w:val="22"/>
                <w:szCs w:val="22"/>
                <w:lang w:eastAsia="en-GB"/>
              </w:rPr>
              <w:t>u</w:t>
            </w:r>
            <w:r w:rsidR="00C60936" w:rsidRPr="00DB5F28">
              <w:rPr>
                <w:rFonts w:cs="Arial"/>
                <w:b/>
                <w:bCs/>
                <w:sz w:val="22"/>
                <w:szCs w:val="22"/>
                <w:lang w:eastAsia="en-GB"/>
              </w:rPr>
              <w:t xml:space="preserve">pdate </w:t>
            </w:r>
          </w:p>
        </w:tc>
      </w:tr>
      <w:tr w:rsidR="007E1DF4" w:rsidRPr="004F4E08" w14:paraId="16C5A5A1" w14:textId="77777777" w:rsidTr="00E25AEF">
        <w:trPr>
          <w:trHeight w:val="2184"/>
        </w:trPr>
        <w:tc>
          <w:tcPr>
            <w:tcW w:w="3883" w:type="dxa"/>
            <w:shd w:val="clear" w:color="auto" w:fill="auto"/>
          </w:tcPr>
          <w:p w14:paraId="19512DFA" w14:textId="42614579" w:rsidR="007E1DF4" w:rsidRPr="008B2815" w:rsidRDefault="00C82B78" w:rsidP="00B91B2F">
            <w:pPr>
              <w:spacing w:after="0"/>
              <w:jc w:val="both"/>
              <w:rPr>
                <w:rFonts w:cs="Arial"/>
                <w:sz w:val="22"/>
                <w:szCs w:val="22"/>
              </w:rPr>
            </w:pPr>
            <w:r w:rsidRPr="00C82B78">
              <w:rPr>
                <w:rFonts w:cs="Arial"/>
                <w:sz w:val="22"/>
                <w:szCs w:val="22"/>
              </w:rPr>
              <w:t>Failure to keep to approved budget, particularly re: demand-led services, new requirements, savings targets, inflationary pressures on both price and pay, budget pressures due to demographic changes, loss of income and the aftermath of Covid-19 on the Council and Luton Rising.</w:t>
            </w:r>
          </w:p>
          <w:p w14:paraId="5A5D841E" w14:textId="77777777" w:rsidR="00090C9C" w:rsidRPr="008B2815" w:rsidRDefault="00090C9C" w:rsidP="00B91B2F">
            <w:pPr>
              <w:spacing w:after="0"/>
              <w:jc w:val="both"/>
              <w:rPr>
                <w:rFonts w:cs="Arial"/>
                <w:sz w:val="22"/>
                <w:szCs w:val="22"/>
              </w:rPr>
            </w:pPr>
            <w:r w:rsidRPr="008B2815">
              <w:rPr>
                <w:rFonts w:cs="Arial"/>
                <w:sz w:val="22"/>
                <w:szCs w:val="22"/>
              </w:rPr>
              <w:t>(Risk Ref. LBC0006)</w:t>
            </w:r>
          </w:p>
          <w:p w14:paraId="50A26ADC" w14:textId="77777777" w:rsidR="00090C9C" w:rsidRPr="008B2815" w:rsidRDefault="00090C9C" w:rsidP="00B91B2F">
            <w:pPr>
              <w:spacing w:after="0"/>
              <w:jc w:val="both"/>
              <w:rPr>
                <w:rFonts w:cs="Arial"/>
                <w:sz w:val="22"/>
                <w:szCs w:val="22"/>
              </w:rPr>
            </w:pPr>
          </w:p>
          <w:p w14:paraId="01EA4C59" w14:textId="77777777" w:rsidR="00090C9C" w:rsidRPr="008B2815" w:rsidRDefault="00090C9C" w:rsidP="00B91B2F">
            <w:pPr>
              <w:spacing w:after="0"/>
              <w:jc w:val="both"/>
              <w:rPr>
                <w:rFonts w:cs="Arial"/>
                <w:i/>
                <w:iCs/>
                <w:sz w:val="22"/>
                <w:szCs w:val="22"/>
              </w:rPr>
            </w:pPr>
            <w:r w:rsidRPr="008B2815">
              <w:rPr>
                <w:rFonts w:cs="Arial"/>
                <w:i/>
                <w:iCs/>
                <w:sz w:val="22"/>
                <w:szCs w:val="22"/>
              </w:rPr>
              <w:t>Inherent Risk Score = 16 (High)</w:t>
            </w:r>
          </w:p>
          <w:p w14:paraId="147F9E51" w14:textId="77777777" w:rsidR="00090C9C" w:rsidRPr="008B2815" w:rsidRDefault="00090C9C" w:rsidP="00B91B2F">
            <w:pPr>
              <w:spacing w:after="0"/>
              <w:jc w:val="both"/>
              <w:rPr>
                <w:rFonts w:cs="Arial"/>
                <w:i/>
                <w:iCs/>
                <w:sz w:val="22"/>
                <w:szCs w:val="22"/>
              </w:rPr>
            </w:pPr>
            <w:r w:rsidRPr="008B2815">
              <w:rPr>
                <w:rFonts w:cs="Arial"/>
                <w:i/>
                <w:iCs/>
                <w:sz w:val="22"/>
                <w:szCs w:val="22"/>
              </w:rPr>
              <w:t>(Likelihood 4 x Consequences 4)</w:t>
            </w:r>
          </w:p>
          <w:p w14:paraId="7EE954CD" w14:textId="77777777" w:rsidR="00090C9C" w:rsidRPr="008B2815" w:rsidRDefault="00090C9C" w:rsidP="00B91B2F">
            <w:pPr>
              <w:spacing w:after="0"/>
              <w:jc w:val="both"/>
              <w:rPr>
                <w:rFonts w:cs="Arial"/>
                <w:i/>
                <w:iCs/>
                <w:sz w:val="22"/>
                <w:szCs w:val="22"/>
              </w:rPr>
            </w:pPr>
          </w:p>
          <w:p w14:paraId="58674956" w14:textId="77777777" w:rsidR="00090C9C" w:rsidRPr="008B2815" w:rsidRDefault="00090C9C" w:rsidP="00B91B2F">
            <w:pPr>
              <w:spacing w:after="0"/>
              <w:jc w:val="both"/>
              <w:rPr>
                <w:rFonts w:cs="Arial"/>
                <w:i/>
                <w:iCs/>
                <w:sz w:val="22"/>
                <w:szCs w:val="22"/>
              </w:rPr>
            </w:pPr>
            <w:r w:rsidRPr="008B2815">
              <w:rPr>
                <w:rFonts w:cs="Arial"/>
                <w:i/>
                <w:iCs/>
                <w:sz w:val="22"/>
                <w:szCs w:val="22"/>
              </w:rPr>
              <w:t>Residual Risk Score = 12 (High)</w:t>
            </w:r>
          </w:p>
          <w:p w14:paraId="0D7554AB" w14:textId="77777777" w:rsidR="00090C9C" w:rsidRPr="008B2815" w:rsidRDefault="00090C9C" w:rsidP="00B91B2F">
            <w:pPr>
              <w:spacing w:after="0"/>
              <w:jc w:val="both"/>
              <w:rPr>
                <w:rFonts w:cs="Arial"/>
                <w:sz w:val="22"/>
                <w:szCs w:val="22"/>
              </w:rPr>
            </w:pPr>
            <w:r w:rsidRPr="008B2815">
              <w:rPr>
                <w:rFonts w:cs="Arial"/>
                <w:i/>
                <w:iCs/>
                <w:sz w:val="22"/>
                <w:szCs w:val="22"/>
              </w:rPr>
              <w:t>(Likelihood 3 x Consequences 4)</w:t>
            </w:r>
          </w:p>
        </w:tc>
        <w:tc>
          <w:tcPr>
            <w:tcW w:w="4595" w:type="dxa"/>
            <w:shd w:val="clear" w:color="auto" w:fill="auto"/>
          </w:tcPr>
          <w:p w14:paraId="542BF81E" w14:textId="77777777" w:rsidR="00C82B78" w:rsidRPr="0011133B" w:rsidRDefault="00C82B78" w:rsidP="00C82B78">
            <w:pPr>
              <w:spacing w:after="0"/>
              <w:jc w:val="both"/>
              <w:rPr>
                <w:rFonts w:cs="Arial"/>
                <w:color w:val="1F497D"/>
                <w:sz w:val="22"/>
                <w:szCs w:val="22"/>
              </w:rPr>
            </w:pPr>
            <w:r w:rsidRPr="0011133B">
              <w:rPr>
                <w:rFonts w:cs="Arial"/>
                <w:sz w:val="22"/>
                <w:szCs w:val="22"/>
              </w:rPr>
              <w:t>The ability to increase Council Tax by 5%, a modest increase in Grant Funding combined with prudent financial management following the July 2020 emergency budget has allowed the Council to set a balanced Gene</w:t>
            </w:r>
            <w:r>
              <w:rPr>
                <w:rFonts w:cs="Arial"/>
                <w:sz w:val="22"/>
                <w:szCs w:val="22"/>
              </w:rPr>
              <w:t xml:space="preserve">ral Fund Revenue budget for </w:t>
            </w:r>
            <w:r w:rsidRPr="00E17FE3">
              <w:rPr>
                <w:rFonts w:cs="Arial"/>
                <w:sz w:val="22"/>
                <w:szCs w:val="22"/>
              </w:rPr>
              <w:t>2024/25.</w:t>
            </w:r>
            <w:r w:rsidRPr="0011133B">
              <w:rPr>
                <w:rFonts w:cs="Arial"/>
                <w:sz w:val="22"/>
                <w:szCs w:val="22"/>
              </w:rPr>
              <w:t>  However delivering this is subject to specific challenges and risks</w:t>
            </w:r>
            <w:r w:rsidRPr="0011133B">
              <w:rPr>
                <w:rFonts w:cs="Arial"/>
                <w:color w:val="1F497D"/>
                <w:sz w:val="22"/>
                <w:szCs w:val="22"/>
              </w:rPr>
              <w:t>.</w:t>
            </w:r>
          </w:p>
          <w:p w14:paraId="35DA759C" w14:textId="77777777" w:rsidR="00C82B78" w:rsidRPr="0011133B" w:rsidRDefault="00C82B78" w:rsidP="00C82B78">
            <w:pPr>
              <w:spacing w:after="0"/>
              <w:jc w:val="both"/>
              <w:rPr>
                <w:rFonts w:cs="Arial"/>
                <w:sz w:val="22"/>
                <w:szCs w:val="22"/>
              </w:rPr>
            </w:pPr>
          </w:p>
          <w:p w14:paraId="18DEABEE" w14:textId="77777777" w:rsidR="00C82B78" w:rsidRPr="0011133B" w:rsidRDefault="00C82B78" w:rsidP="00C82B78">
            <w:pPr>
              <w:spacing w:after="0"/>
              <w:jc w:val="both"/>
              <w:rPr>
                <w:rFonts w:cs="Arial"/>
                <w:sz w:val="22"/>
                <w:szCs w:val="22"/>
              </w:rPr>
            </w:pPr>
            <w:r w:rsidRPr="0011133B">
              <w:rPr>
                <w:rFonts w:cs="Arial"/>
                <w:sz w:val="22"/>
                <w:szCs w:val="22"/>
              </w:rPr>
              <w:t>The following mitigation plans and regular monitoring, reporting with corrective measures should assist the council to deliver a balanced budget this year.</w:t>
            </w:r>
          </w:p>
          <w:p w14:paraId="31767D2A" w14:textId="77777777" w:rsidR="00C82B78" w:rsidRPr="0011133B" w:rsidRDefault="00C82B78" w:rsidP="00C82B78">
            <w:pPr>
              <w:pStyle w:val="ListParagraph"/>
              <w:numPr>
                <w:ilvl w:val="0"/>
                <w:numId w:val="7"/>
              </w:numPr>
              <w:adjustRightInd/>
              <w:spacing w:after="0"/>
              <w:jc w:val="both"/>
              <w:textAlignment w:val="auto"/>
              <w:rPr>
                <w:rFonts w:cs="Arial"/>
                <w:sz w:val="22"/>
                <w:szCs w:val="22"/>
              </w:rPr>
            </w:pPr>
            <w:r w:rsidRPr="0011133B">
              <w:rPr>
                <w:sz w:val="22"/>
                <w:szCs w:val="22"/>
              </w:rPr>
              <w:t xml:space="preserve">Preparation and delivery of a deficit recovery plan and this year’s new savings.  This is proving to be a challenge because of the cost of living crisis, inflation, high interest rate, and other macroeconomic factors. </w:t>
            </w:r>
          </w:p>
          <w:p w14:paraId="29AC7479" w14:textId="77777777" w:rsidR="00C82B78" w:rsidRPr="0011133B" w:rsidRDefault="00C82B78" w:rsidP="00C82B78">
            <w:pPr>
              <w:pStyle w:val="ListParagraph"/>
              <w:numPr>
                <w:ilvl w:val="0"/>
                <w:numId w:val="7"/>
              </w:numPr>
              <w:adjustRightInd/>
              <w:spacing w:after="0"/>
              <w:jc w:val="both"/>
              <w:textAlignment w:val="auto"/>
              <w:rPr>
                <w:sz w:val="22"/>
                <w:szCs w:val="22"/>
              </w:rPr>
            </w:pPr>
            <w:r w:rsidRPr="0011133B">
              <w:rPr>
                <w:sz w:val="22"/>
                <w:szCs w:val="22"/>
              </w:rPr>
              <w:t>No additional commitments without identification of funding sources.</w:t>
            </w:r>
          </w:p>
          <w:p w14:paraId="57FD12FB" w14:textId="77777777" w:rsidR="00C82B78" w:rsidRPr="0011133B" w:rsidRDefault="00C82B78" w:rsidP="00C82B78">
            <w:pPr>
              <w:pStyle w:val="ListParagraph"/>
              <w:numPr>
                <w:ilvl w:val="0"/>
                <w:numId w:val="7"/>
              </w:numPr>
              <w:adjustRightInd/>
              <w:spacing w:after="0"/>
              <w:jc w:val="both"/>
              <w:textAlignment w:val="auto"/>
              <w:rPr>
                <w:sz w:val="22"/>
                <w:szCs w:val="22"/>
              </w:rPr>
            </w:pPr>
            <w:r w:rsidRPr="0011133B">
              <w:rPr>
                <w:sz w:val="22"/>
                <w:szCs w:val="22"/>
              </w:rPr>
              <w:t>Delivery of the income target as approved by Council.</w:t>
            </w:r>
          </w:p>
          <w:p w14:paraId="22CE1CE6" w14:textId="77777777" w:rsidR="00C82B78" w:rsidRPr="0011133B" w:rsidRDefault="00C82B78" w:rsidP="00C82B78">
            <w:pPr>
              <w:pStyle w:val="ListParagraph"/>
              <w:numPr>
                <w:ilvl w:val="0"/>
                <w:numId w:val="7"/>
              </w:numPr>
              <w:adjustRightInd/>
              <w:spacing w:after="0"/>
              <w:jc w:val="both"/>
              <w:textAlignment w:val="auto"/>
              <w:rPr>
                <w:sz w:val="22"/>
                <w:szCs w:val="22"/>
              </w:rPr>
            </w:pPr>
            <w:r w:rsidRPr="0011133B">
              <w:rPr>
                <w:sz w:val="22"/>
                <w:szCs w:val="22"/>
              </w:rPr>
              <w:t>Exit strategy for commitments whereby funding was available on a one-off basis.</w:t>
            </w:r>
          </w:p>
          <w:p w14:paraId="583764BE" w14:textId="77777777" w:rsidR="00C82B78" w:rsidRPr="0011133B" w:rsidRDefault="00C82B78" w:rsidP="00C82B78">
            <w:pPr>
              <w:pStyle w:val="ListParagraph"/>
              <w:numPr>
                <w:ilvl w:val="0"/>
                <w:numId w:val="7"/>
              </w:numPr>
              <w:adjustRightInd/>
              <w:spacing w:after="0"/>
              <w:jc w:val="both"/>
              <w:textAlignment w:val="auto"/>
              <w:rPr>
                <w:sz w:val="22"/>
                <w:szCs w:val="22"/>
              </w:rPr>
            </w:pPr>
            <w:r w:rsidRPr="0011133B">
              <w:rPr>
                <w:sz w:val="22"/>
                <w:szCs w:val="22"/>
              </w:rPr>
              <w:t>Active demand management and preventative measures put in place at the outset.</w:t>
            </w:r>
          </w:p>
          <w:p w14:paraId="6020A7E9" w14:textId="77777777" w:rsidR="00C82B78" w:rsidRPr="00E17FE3" w:rsidRDefault="00C82B78" w:rsidP="00C82B78">
            <w:pPr>
              <w:pStyle w:val="ListParagraph"/>
              <w:numPr>
                <w:ilvl w:val="0"/>
                <w:numId w:val="7"/>
              </w:numPr>
              <w:adjustRightInd/>
              <w:spacing w:after="0"/>
              <w:jc w:val="both"/>
              <w:textAlignment w:val="auto"/>
              <w:rPr>
                <w:sz w:val="22"/>
                <w:szCs w:val="22"/>
              </w:rPr>
            </w:pPr>
            <w:r w:rsidRPr="0011133B">
              <w:rPr>
                <w:sz w:val="22"/>
                <w:szCs w:val="22"/>
              </w:rPr>
              <w:t xml:space="preserve">Close monitoring of inflation and increases in interest rates and impact on both revenue and capital budget and corrective measures put </w:t>
            </w:r>
            <w:r w:rsidRPr="00E17FE3">
              <w:rPr>
                <w:sz w:val="22"/>
                <w:szCs w:val="22"/>
              </w:rPr>
              <w:t>in place.</w:t>
            </w:r>
          </w:p>
          <w:p w14:paraId="5FD67C25" w14:textId="77777777" w:rsidR="00C82B78" w:rsidRPr="00E17FE3" w:rsidRDefault="00C82B78" w:rsidP="00C82B78">
            <w:pPr>
              <w:pStyle w:val="ListParagraph"/>
              <w:numPr>
                <w:ilvl w:val="0"/>
                <w:numId w:val="7"/>
              </w:numPr>
              <w:adjustRightInd/>
              <w:spacing w:after="0"/>
              <w:jc w:val="both"/>
              <w:textAlignment w:val="auto"/>
              <w:rPr>
                <w:sz w:val="22"/>
                <w:szCs w:val="22"/>
              </w:rPr>
            </w:pPr>
            <w:r w:rsidRPr="00E17FE3">
              <w:rPr>
                <w:sz w:val="22"/>
                <w:szCs w:val="22"/>
              </w:rPr>
              <w:t>Close monitoring of council tax and business rates collection rates, commercial income and housing benefits payment.</w:t>
            </w:r>
          </w:p>
          <w:p w14:paraId="174732D7" w14:textId="77777777" w:rsidR="00C82B78" w:rsidRDefault="00C82B78" w:rsidP="00C82B78">
            <w:pPr>
              <w:pStyle w:val="ListParagraph"/>
              <w:numPr>
                <w:ilvl w:val="0"/>
                <w:numId w:val="7"/>
              </w:numPr>
              <w:adjustRightInd/>
              <w:spacing w:after="0"/>
              <w:jc w:val="both"/>
              <w:textAlignment w:val="auto"/>
              <w:rPr>
                <w:sz w:val="22"/>
                <w:szCs w:val="22"/>
              </w:rPr>
            </w:pPr>
            <w:r w:rsidRPr="00E17FE3">
              <w:rPr>
                <w:sz w:val="22"/>
                <w:szCs w:val="22"/>
              </w:rPr>
              <w:t>Working with Human Engine and with other departments on the Council’s Transformation Programme to identify savings to bridge the current core deficit and future budget gap in order to deliver an affordable and sustainable medium term financial plan.</w:t>
            </w:r>
          </w:p>
          <w:p w14:paraId="4B013CF9" w14:textId="77777777" w:rsidR="009740EF" w:rsidRDefault="00C82B78" w:rsidP="00C82B78">
            <w:pPr>
              <w:pStyle w:val="ListParagraph"/>
              <w:numPr>
                <w:ilvl w:val="0"/>
                <w:numId w:val="7"/>
              </w:numPr>
              <w:adjustRightInd/>
              <w:spacing w:after="0"/>
              <w:jc w:val="both"/>
              <w:textAlignment w:val="auto"/>
              <w:rPr>
                <w:sz w:val="22"/>
                <w:szCs w:val="22"/>
              </w:rPr>
            </w:pPr>
            <w:r w:rsidRPr="00C82B78">
              <w:rPr>
                <w:sz w:val="22"/>
                <w:szCs w:val="22"/>
              </w:rPr>
              <w:t>A moratorium on engagement of Agency Staff for most Services, unless approved by Chief Officers.</w:t>
            </w:r>
          </w:p>
          <w:p w14:paraId="4148893C" w14:textId="21761B47" w:rsidR="00C82B78" w:rsidRPr="00C82B78" w:rsidRDefault="00C82B78" w:rsidP="00C82B78">
            <w:pPr>
              <w:pStyle w:val="ListParagraph"/>
              <w:adjustRightInd/>
              <w:spacing w:after="0"/>
              <w:ind w:left="360"/>
              <w:jc w:val="both"/>
              <w:textAlignment w:val="auto"/>
              <w:rPr>
                <w:sz w:val="22"/>
                <w:szCs w:val="22"/>
              </w:rPr>
            </w:pPr>
          </w:p>
        </w:tc>
      </w:tr>
      <w:tr w:rsidR="00A20E89" w:rsidRPr="004F4E08" w14:paraId="1394DC13" w14:textId="77777777" w:rsidTr="00116008">
        <w:trPr>
          <w:trHeight w:val="3436"/>
        </w:trPr>
        <w:tc>
          <w:tcPr>
            <w:tcW w:w="3883" w:type="dxa"/>
            <w:shd w:val="clear" w:color="auto" w:fill="auto"/>
          </w:tcPr>
          <w:p w14:paraId="376FDB5E" w14:textId="77777777" w:rsidR="00C60936" w:rsidRPr="00FC208D" w:rsidRDefault="00C60936" w:rsidP="0006503F">
            <w:pPr>
              <w:spacing w:after="0"/>
              <w:jc w:val="both"/>
              <w:rPr>
                <w:rFonts w:cs="Arial"/>
                <w:sz w:val="22"/>
                <w:szCs w:val="22"/>
              </w:rPr>
            </w:pPr>
            <w:r w:rsidRPr="00FC208D">
              <w:rPr>
                <w:rFonts w:cs="Arial"/>
                <w:sz w:val="22"/>
                <w:szCs w:val="22"/>
              </w:rPr>
              <w:t xml:space="preserve">Failure to recruit/retain staff (i.e. potentially losing top performing staff due to competitiveness of salary package in some sectors). </w:t>
            </w:r>
          </w:p>
          <w:p w14:paraId="593F82BC" w14:textId="77777777" w:rsidR="00C60936" w:rsidRPr="00FC208D" w:rsidRDefault="00C60936" w:rsidP="0006503F">
            <w:pPr>
              <w:spacing w:after="0"/>
              <w:jc w:val="both"/>
              <w:rPr>
                <w:rFonts w:cs="Arial"/>
                <w:sz w:val="22"/>
                <w:szCs w:val="22"/>
              </w:rPr>
            </w:pPr>
            <w:r w:rsidRPr="00FC208D">
              <w:rPr>
                <w:rFonts w:cs="Arial"/>
                <w:sz w:val="22"/>
                <w:szCs w:val="22"/>
              </w:rPr>
              <w:t>(Risk Ref. LBC0008)</w:t>
            </w:r>
          </w:p>
          <w:p w14:paraId="74873B1D" w14:textId="77777777" w:rsidR="00C60936" w:rsidRPr="00FC208D" w:rsidRDefault="00C60936" w:rsidP="0006503F">
            <w:pPr>
              <w:spacing w:after="0"/>
              <w:jc w:val="both"/>
              <w:rPr>
                <w:rFonts w:cs="Arial"/>
                <w:sz w:val="22"/>
                <w:szCs w:val="22"/>
              </w:rPr>
            </w:pPr>
          </w:p>
          <w:p w14:paraId="02F3B90E" w14:textId="77777777" w:rsidR="00C60936" w:rsidRPr="00FC208D" w:rsidRDefault="00C60936" w:rsidP="0006503F">
            <w:pPr>
              <w:spacing w:after="0"/>
              <w:jc w:val="both"/>
              <w:rPr>
                <w:rFonts w:cs="Arial"/>
                <w:i/>
                <w:iCs/>
                <w:sz w:val="22"/>
                <w:szCs w:val="22"/>
              </w:rPr>
            </w:pPr>
            <w:r w:rsidRPr="00FC208D">
              <w:rPr>
                <w:rFonts w:cs="Arial"/>
                <w:i/>
                <w:iCs/>
                <w:sz w:val="22"/>
                <w:szCs w:val="22"/>
              </w:rPr>
              <w:t>Inherent Risk Score = 16 (High)</w:t>
            </w:r>
          </w:p>
          <w:p w14:paraId="5B0F08C1" w14:textId="77777777" w:rsidR="00C60936" w:rsidRPr="00FC208D" w:rsidRDefault="00C60936" w:rsidP="0006503F">
            <w:pPr>
              <w:spacing w:after="0"/>
              <w:jc w:val="both"/>
              <w:rPr>
                <w:rFonts w:cs="Arial"/>
                <w:i/>
                <w:iCs/>
                <w:sz w:val="22"/>
                <w:szCs w:val="22"/>
              </w:rPr>
            </w:pPr>
            <w:r w:rsidRPr="00FC208D">
              <w:rPr>
                <w:rFonts w:cs="Arial"/>
                <w:i/>
                <w:iCs/>
                <w:sz w:val="22"/>
                <w:szCs w:val="22"/>
              </w:rPr>
              <w:t>(Likelihood 4 x Consequences 4)</w:t>
            </w:r>
          </w:p>
          <w:p w14:paraId="6ACFB692" w14:textId="77777777" w:rsidR="00C60936" w:rsidRPr="00FC208D" w:rsidRDefault="00C60936" w:rsidP="0006503F">
            <w:pPr>
              <w:spacing w:after="0"/>
              <w:jc w:val="both"/>
              <w:rPr>
                <w:rFonts w:cs="Arial"/>
                <w:i/>
                <w:iCs/>
                <w:sz w:val="22"/>
                <w:szCs w:val="22"/>
              </w:rPr>
            </w:pPr>
          </w:p>
          <w:p w14:paraId="3D9BE372" w14:textId="77777777" w:rsidR="00C60936" w:rsidRPr="00FC208D" w:rsidRDefault="00C60936" w:rsidP="0006503F">
            <w:pPr>
              <w:spacing w:after="0"/>
              <w:jc w:val="both"/>
              <w:rPr>
                <w:rFonts w:cs="Arial"/>
                <w:i/>
                <w:iCs/>
                <w:sz w:val="22"/>
                <w:szCs w:val="22"/>
              </w:rPr>
            </w:pPr>
            <w:r w:rsidRPr="00FC208D">
              <w:rPr>
                <w:rFonts w:cs="Arial"/>
                <w:i/>
                <w:iCs/>
                <w:sz w:val="22"/>
                <w:szCs w:val="22"/>
              </w:rPr>
              <w:t>Residual Risk Score = 12 (High)</w:t>
            </w:r>
          </w:p>
          <w:p w14:paraId="20714F2D" w14:textId="77777777" w:rsidR="00C60936" w:rsidRPr="00FC208D" w:rsidRDefault="004913F4" w:rsidP="0006503F">
            <w:pPr>
              <w:spacing w:after="0"/>
              <w:jc w:val="both"/>
              <w:rPr>
                <w:rFonts w:cs="Arial"/>
                <w:i/>
                <w:sz w:val="22"/>
                <w:szCs w:val="22"/>
              </w:rPr>
            </w:pPr>
            <w:r w:rsidRPr="00FC208D">
              <w:rPr>
                <w:rFonts w:cs="Arial"/>
                <w:i/>
                <w:iCs/>
                <w:sz w:val="22"/>
                <w:szCs w:val="22"/>
              </w:rPr>
              <w:t>(Likelihood 3 x Consequences 4</w:t>
            </w:r>
            <w:r w:rsidR="00C60936" w:rsidRPr="00FC208D">
              <w:rPr>
                <w:rFonts w:cs="Arial"/>
                <w:i/>
                <w:iCs/>
                <w:sz w:val="22"/>
                <w:szCs w:val="22"/>
              </w:rPr>
              <w:t>)</w:t>
            </w:r>
          </w:p>
        </w:tc>
        <w:tc>
          <w:tcPr>
            <w:tcW w:w="4595" w:type="dxa"/>
            <w:shd w:val="clear" w:color="auto" w:fill="auto"/>
          </w:tcPr>
          <w:p w14:paraId="12509439" w14:textId="56A6D078" w:rsidR="00116008" w:rsidRPr="00FC208D" w:rsidRDefault="00116008" w:rsidP="00116008">
            <w:pPr>
              <w:spacing w:after="0"/>
              <w:jc w:val="both"/>
              <w:rPr>
                <w:rFonts w:cs="Arial"/>
                <w:sz w:val="22"/>
                <w:szCs w:val="22"/>
              </w:rPr>
            </w:pPr>
            <w:r w:rsidRPr="00FC208D">
              <w:rPr>
                <w:rFonts w:cs="Arial"/>
                <w:sz w:val="22"/>
                <w:szCs w:val="22"/>
              </w:rPr>
              <w:t>Develop</w:t>
            </w:r>
            <w:r w:rsidR="00C82B78" w:rsidRPr="00FC208D">
              <w:rPr>
                <w:rFonts w:cs="Arial"/>
                <w:sz w:val="22"/>
                <w:szCs w:val="22"/>
              </w:rPr>
              <w:t>ed</w:t>
            </w:r>
            <w:r w:rsidRPr="00FC208D">
              <w:rPr>
                <w:rFonts w:cs="Arial"/>
                <w:sz w:val="22"/>
                <w:szCs w:val="22"/>
              </w:rPr>
              <w:t xml:space="preserve"> a new People Strategy and implementation plan.  Recruitment and retention will be central to this, including a review of the Employee Value Proposition</w:t>
            </w:r>
            <w:r w:rsidR="00B26A8E" w:rsidRPr="00FC208D">
              <w:rPr>
                <w:rFonts w:cs="Arial"/>
                <w:sz w:val="22"/>
                <w:szCs w:val="22"/>
              </w:rPr>
              <w:t xml:space="preserve"> (EVP)</w:t>
            </w:r>
            <w:r w:rsidRPr="00FC208D">
              <w:rPr>
                <w:rFonts w:cs="Arial"/>
                <w:sz w:val="22"/>
                <w:szCs w:val="22"/>
              </w:rPr>
              <w:t xml:space="preserve">.   Following discussion at CLT a plan is now being executed to secure a new EVP, stabilising an internal recruitment team and moving ahead with a range of actions on key issues identified in the staff survey like pay.  </w:t>
            </w:r>
          </w:p>
          <w:p w14:paraId="3D9A37DA" w14:textId="77777777" w:rsidR="00116008" w:rsidRPr="00FC208D" w:rsidRDefault="00116008" w:rsidP="00116008">
            <w:pPr>
              <w:spacing w:after="0"/>
              <w:jc w:val="both"/>
              <w:rPr>
                <w:rFonts w:cs="Arial"/>
                <w:sz w:val="22"/>
                <w:szCs w:val="22"/>
              </w:rPr>
            </w:pPr>
          </w:p>
          <w:p w14:paraId="292A65BD" w14:textId="5F11F308" w:rsidR="00116008" w:rsidRPr="00FC208D" w:rsidRDefault="00116008" w:rsidP="00116008">
            <w:pPr>
              <w:spacing w:after="0"/>
              <w:jc w:val="both"/>
              <w:rPr>
                <w:rFonts w:cs="Arial"/>
                <w:sz w:val="22"/>
                <w:szCs w:val="22"/>
              </w:rPr>
            </w:pPr>
            <w:r w:rsidRPr="00FC208D">
              <w:rPr>
                <w:rFonts w:cs="Arial"/>
                <w:sz w:val="22"/>
                <w:szCs w:val="22"/>
              </w:rPr>
              <w:t>Review Summary: Risk score remains the same.  Mitigations are being put in place including a business case for the modernisation of the recruitment service.</w:t>
            </w:r>
          </w:p>
          <w:p w14:paraId="4429D31D" w14:textId="1BC223E4" w:rsidR="0097780E" w:rsidRPr="00FC208D" w:rsidRDefault="0097780E" w:rsidP="00B34440">
            <w:pPr>
              <w:spacing w:after="0"/>
              <w:jc w:val="both"/>
              <w:rPr>
                <w:rFonts w:cs="Arial"/>
                <w:sz w:val="22"/>
                <w:szCs w:val="22"/>
              </w:rPr>
            </w:pPr>
          </w:p>
        </w:tc>
      </w:tr>
      <w:tr w:rsidR="00A40733" w:rsidRPr="004F4E08" w14:paraId="54C99352" w14:textId="77777777" w:rsidTr="00BB4CD7">
        <w:trPr>
          <w:trHeight w:val="1192"/>
        </w:trPr>
        <w:tc>
          <w:tcPr>
            <w:tcW w:w="3883" w:type="dxa"/>
            <w:shd w:val="clear" w:color="auto" w:fill="auto"/>
          </w:tcPr>
          <w:p w14:paraId="50CB84E4" w14:textId="77777777" w:rsidR="00A40733" w:rsidRPr="00DA23EC" w:rsidRDefault="00A40733" w:rsidP="00A40733">
            <w:pPr>
              <w:spacing w:after="0"/>
              <w:jc w:val="both"/>
              <w:rPr>
                <w:rFonts w:cs="Arial"/>
                <w:sz w:val="22"/>
                <w:szCs w:val="22"/>
              </w:rPr>
            </w:pPr>
            <w:r w:rsidRPr="00DA23EC">
              <w:rPr>
                <w:rFonts w:cs="Arial"/>
                <w:sz w:val="22"/>
                <w:szCs w:val="22"/>
              </w:rPr>
              <w:t xml:space="preserve">The current demand profile/poverty in </w:t>
            </w:r>
            <w:r w:rsidR="00C54525" w:rsidRPr="00DA23EC">
              <w:rPr>
                <w:rFonts w:cs="Arial"/>
                <w:sz w:val="22"/>
                <w:szCs w:val="22"/>
              </w:rPr>
              <w:t xml:space="preserve">Luton continues to result in an </w:t>
            </w:r>
            <w:r w:rsidRPr="00DA23EC">
              <w:rPr>
                <w:rFonts w:cs="Arial"/>
                <w:sz w:val="22"/>
                <w:szCs w:val="22"/>
              </w:rPr>
              <w:t xml:space="preserve">overspend on the agreed budget. </w:t>
            </w:r>
          </w:p>
          <w:p w14:paraId="2AB5FD50" w14:textId="77777777" w:rsidR="00A40733" w:rsidRPr="00DA23EC" w:rsidRDefault="00A40733" w:rsidP="00A40733">
            <w:pPr>
              <w:spacing w:after="0"/>
              <w:jc w:val="both"/>
              <w:rPr>
                <w:rFonts w:cs="Arial"/>
                <w:sz w:val="22"/>
                <w:szCs w:val="22"/>
              </w:rPr>
            </w:pPr>
            <w:r w:rsidRPr="00DA23EC">
              <w:rPr>
                <w:rFonts w:cs="Arial"/>
                <w:sz w:val="22"/>
                <w:szCs w:val="22"/>
              </w:rPr>
              <w:t>(Risk Ref. LBC0071)</w:t>
            </w:r>
          </w:p>
          <w:p w14:paraId="22C3C1C7" w14:textId="77777777" w:rsidR="00A40733" w:rsidRPr="00DA23EC" w:rsidRDefault="00A40733" w:rsidP="00A40733">
            <w:pPr>
              <w:spacing w:after="0"/>
              <w:jc w:val="both"/>
              <w:rPr>
                <w:rFonts w:cs="Arial"/>
                <w:sz w:val="22"/>
                <w:szCs w:val="22"/>
              </w:rPr>
            </w:pPr>
          </w:p>
          <w:p w14:paraId="4AEDAF5B" w14:textId="77777777" w:rsidR="00A40733" w:rsidRPr="00DA23EC" w:rsidRDefault="00A40733" w:rsidP="00A40733">
            <w:pPr>
              <w:spacing w:after="0"/>
              <w:jc w:val="both"/>
              <w:rPr>
                <w:rFonts w:cs="Arial"/>
                <w:i/>
                <w:iCs/>
                <w:sz w:val="22"/>
                <w:szCs w:val="22"/>
              </w:rPr>
            </w:pPr>
            <w:r w:rsidRPr="00DA23EC">
              <w:rPr>
                <w:rFonts w:cs="Arial"/>
                <w:i/>
                <w:iCs/>
                <w:sz w:val="22"/>
                <w:szCs w:val="22"/>
              </w:rPr>
              <w:t>Inherent Risk Score = 16 (High)</w:t>
            </w:r>
          </w:p>
          <w:p w14:paraId="1B6D1B84" w14:textId="77777777" w:rsidR="00A40733" w:rsidRPr="00DA23EC" w:rsidRDefault="00A40733" w:rsidP="00A40733">
            <w:pPr>
              <w:spacing w:after="0"/>
              <w:jc w:val="both"/>
              <w:rPr>
                <w:rFonts w:cs="Arial"/>
                <w:i/>
                <w:iCs/>
                <w:sz w:val="22"/>
                <w:szCs w:val="22"/>
              </w:rPr>
            </w:pPr>
            <w:r w:rsidRPr="00DA23EC">
              <w:rPr>
                <w:rFonts w:cs="Arial"/>
                <w:i/>
                <w:iCs/>
                <w:sz w:val="22"/>
                <w:szCs w:val="22"/>
              </w:rPr>
              <w:t>(Likelihood 4 x Consequences 4)</w:t>
            </w:r>
          </w:p>
          <w:p w14:paraId="43C5482E" w14:textId="77777777" w:rsidR="00A40733" w:rsidRPr="00DA23EC" w:rsidRDefault="00A40733" w:rsidP="00A40733">
            <w:pPr>
              <w:spacing w:after="0"/>
              <w:jc w:val="both"/>
              <w:rPr>
                <w:rFonts w:cs="Arial"/>
                <w:i/>
                <w:iCs/>
                <w:sz w:val="22"/>
                <w:szCs w:val="22"/>
              </w:rPr>
            </w:pPr>
          </w:p>
          <w:p w14:paraId="026EF384" w14:textId="77777777" w:rsidR="00A40733" w:rsidRPr="00DA23EC" w:rsidRDefault="00A40733" w:rsidP="00A40733">
            <w:pPr>
              <w:spacing w:after="0"/>
              <w:jc w:val="both"/>
              <w:rPr>
                <w:rFonts w:cs="Arial"/>
                <w:i/>
                <w:iCs/>
                <w:sz w:val="22"/>
                <w:szCs w:val="22"/>
              </w:rPr>
            </w:pPr>
            <w:r w:rsidRPr="00DA23EC">
              <w:rPr>
                <w:rFonts w:cs="Arial"/>
                <w:i/>
                <w:iCs/>
                <w:sz w:val="22"/>
                <w:szCs w:val="22"/>
              </w:rPr>
              <w:t>Residual Risk Score = 12 (High)</w:t>
            </w:r>
          </w:p>
          <w:p w14:paraId="68E639AA" w14:textId="1F096509" w:rsidR="00914F8F" w:rsidRPr="00DA23EC" w:rsidRDefault="004913F4" w:rsidP="00A40733">
            <w:pPr>
              <w:spacing w:after="0"/>
              <w:jc w:val="both"/>
              <w:rPr>
                <w:rFonts w:cs="Arial"/>
                <w:i/>
                <w:iCs/>
                <w:sz w:val="22"/>
                <w:szCs w:val="22"/>
              </w:rPr>
            </w:pPr>
            <w:r w:rsidRPr="00DA23EC">
              <w:rPr>
                <w:rFonts w:cs="Arial"/>
                <w:i/>
                <w:iCs/>
                <w:sz w:val="22"/>
                <w:szCs w:val="22"/>
              </w:rPr>
              <w:t>(Likelihood 3 x Consequences 4</w:t>
            </w:r>
            <w:r w:rsidR="001220EC" w:rsidRPr="00DA23EC">
              <w:rPr>
                <w:rFonts w:cs="Arial"/>
                <w:i/>
                <w:iCs/>
                <w:sz w:val="22"/>
                <w:szCs w:val="22"/>
              </w:rPr>
              <w:t>)</w:t>
            </w:r>
          </w:p>
        </w:tc>
        <w:tc>
          <w:tcPr>
            <w:tcW w:w="4595" w:type="dxa"/>
            <w:shd w:val="clear" w:color="auto" w:fill="auto"/>
          </w:tcPr>
          <w:p w14:paraId="633F2E82" w14:textId="77777777" w:rsidR="00A40733" w:rsidRPr="00BB4CD7" w:rsidRDefault="00A40733" w:rsidP="00A40733">
            <w:pPr>
              <w:spacing w:after="0"/>
              <w:jc w:val="both"/>
              <w:rPr>
                <w:rFonts w:cs="Arial"/>
                <w:sz w:val="22"/>
                <w:szCs w:val="22"/>
              </w:rPr>
            </w:pPr>
            <w:r w:rsidRPr="00BB4CD7">
              <w:rPr>
                <w:rFonts w:cs="Arial"/>
                <w:sz w:val="22"/>
                <w:szCs w:val="22"/>
              </w:rPr>
              <w:t xml:space="preserve">Budget Monitoring. </w:t>
            </w:r>
          </w:p>
          <w:p w14:paraId="09E825D2" w14:textId="77777777" w:rsidR="00A40733" w:rsidRPr="00BB4CD7" w:rsidRDefault="00A40733" w:rsidP="00A40733">
            <w:pPr>
              <w:spacing w:after="0"/>
              <w:jc w:val="both"/>
              <w:rPr>
                <w:rFonts w:cs="Arial"/>
                <w:sz w:val="22"/>
                <w:szCs w:val="22"/>
              </w:rPr>
            </w:pPr>
            <w:r w:rsidRPr="00BB4CD7">
              <w:rPr>
                <w:rFonts w:cs="Arial"/>
                <w:sz w:val="22"/>
                <w:szCs w:val="22"/>
              </w:rPr>
              <w:t>Luton 2040 agenda.</w:t>
            </w:r>
          </w:p>
          <w:p w14:paraId="29FF8EAE" w14:textId="77777777" w:rsidR="00A40733" w:rsidRPr="003A34F2" w:rsidRDefault="00A40733" w:rsidP="00A40733">
            <w:pPr>
              <w:spacing w:after="0"/>
              <w:jc w:val="both"/>
              <w:rPr>
                <w:rFonts w:cs="Arial"/>
                <w:sz w:val="22"/>
                <w:szCs w:val="22"/>
                <w:highlight w:val="yellow"/>
              </w:rPr>
            </w:pPr>
          </w:p>
          <w:p w14:paraId="2971BFC3" w14:textId="77777777" w:rsidR="00444DBE" w:rsidRDefault="00BB4CD7" w:rsidP="00BB4CD7">
            <w:pPr>
              <w:spacing w:after="0"/>
              <w:jc w:val="both"/>
              <w:rPr>
                <w:rFonts w:cs="Arial"/>
                <w:sz w:val="22"/>
                <w:szCs w:val="22"/>
              </w:rPr>
            </w:pPr>
            <w:r>
              <w:rPr>
                <w:rFonts w:cs="Arial"/>
                <w:sz w:val="22"/>
                <w:szCs w:val="22"/>
              </w:rPr>
              <w:t xml:space="preserve">Review Summary: </w:t>
            </w:r>
            <w:r w:rsidRPr="00BB4CD7">
              <w:rPr>
                <w:rFonts w:cs="Arial"/>
                <w:sz w:val="22"/>
                <w:szCs w:val="22"/>
              </w:rPr>
              <w:t>The numbers of households in temporary accommodation is monitored regularly, however, the demand pressures, which have seen an average of 460 homeless households approach the Council for assistance has had an adverse impact on the reduction plan.  Hotel numbers rose to 117 but has been reduced to 70, although overall numbers of temporary accommodation is 1,043.  The target will be missed this year and will be re-profiled for next year.  Additional work is taking place with ou</w:t>
            </w:r>
            <w:r>
              <w:rPr>
                <w:rFonts w:cs="Arial"/>
                <w:sz w:val="22"/>
                <w:szCs w:val="22"/>
              </w:rPr>
              <w:t>r transformation partner, Human</w:t>
            </w:r>
            <w:r w:rsidRPr="00BB4CD7">
              <w:rPr>
                <w:rFonts w:cs="Arial"/>
                <w:sz w:val="22"/>
                <w:szCs w:val="22"/>
              </w:rPr>
              <w:t xml:space="preserve"> Engine to bring more oversight to the challenges being faced.</w:t>
            </w:r>
          </w:p>
          <w:p w14:paraId="4C117530" w14:textId="594AE64B" w:rsidR="00BB4CD7" w:rsidRPr="003A34F2" w:rsidRDefault="00BB4CD7" w:rsidP="00BB4CD7">
            <w:pPr>
              <w:spacing w:after="0"/>
              <w:jc w:val="both"/>
              <w:rPr>
                <w:rFonts w:cs="Arial"/>
                <w:color w:val="FF0000"/>
                <w:sz w:val="22"/>
                <w:szCs w:val="22"/>
                <w:highlight w:val="yellow"/>
              </w:rPr>
            </w:pPr>
          </w:p>
        </w:tc>
      </w:tr>
      <w:tr w:rsidR="00A40733" w:rsidRPr="004F4E08" w14:paraId="1D00D469" w14:textId="77777777" w:rsidTr="008A0D9A">
        <w:trPr>
          <w:trHeight w:val="50"/>
        </w:trPr>
        <w:tc>
          <w:tcPr>
            <w:tcW w:w="3883" w:type="dxa"/>
            <w:shd w:val="clear" w:color="auto" w:fill="auto"/>
          </w:tcPr>
          <w:p w14:paraId="5425854F" w14:textId="77777777" w:rsidR="00A40733" w:rsidRPr="00FC208D" w:rsidRDefault="00A40733" w:rsidP="00A40733">
            <w:pPr>
              <w:spacing w:after="0"/>
              <w:jc w:val="both"/>
              <w:rPr>
                <w:rFonts w:cs="Arial"/>
                <w:sz w:val="22"/>
                <w:szCs w:val="22"/>
              </w:rPr>
            </w:pPr>
            <w:r w:rsidRPr="00FC208D">
              <w:rPr>
                <w:rFonts w:cs="Arial"/>
                <w:sz w:val="22"/>
                <w:szCs w:val="22"/>
              </w:rPr>
              <w:t>Failure to improve the decline and look of the town centre.</w:t>
            </w:r>
          </w:p>
          <w:p w14:paraId="3E77FD58" w14:textId="77777777" w:rsidR="00A40733" w:rsidRPr="00FC208D" w:rsidRDefault="00A40733" w:rsidP="00A40733">
            <w:pPr>
              <w:spacing w:after="0"/>
              <w:jc w:val="both"/>
              <w:rPr>
                <w:rFonts w:cs="Arial"/>
                <w:sz w:val="22"/>
                <w:szCs w:val="22"/>
              </w:rPr>
            </w:pPr>
            <w:r w:rsidRPr="00FC208D">
              <w:rPr>
                <w:rFonts w:cs="Arial"/>
                <w:sz w:val="22"/>
                <w:szCs w:val="22"/>
              </w:rPr>
              <w:t>(Risk Ref. LBC0085)</w:t>
            </w:r>
          </w:p>
          <w:p w14:paraId="1C3EE40D" w14:textId="77777777" w:rsidR="00A40733" w:rsidRPr="00FC208D" w:rsidRDefault="00A40733" w:rsidP="00A40733">
            <w:pPr>
              <w:spacing w:after="0"/>
              <w:jc w:val="both"/>
              <w:rPr>
                <w:rFonts w:cs="Arial"/>
                <w:sz w:val="22"/>
                <w:szCs w:val="22"/>
              </w:rPr>
            </w:pPr>
          </w:p>
          <w:p w14:paraId="33BF7A59" w14:textId="77777777" w:rsidR="00A40733" w:rsidRPr="00FC208D" w:rsidRDefault="00A40733" w:rsidP="00A40733">
            <w:pPr>
              <w:spacing w:after="0"/>
              <w:jc w:val="both"/>
              <w:rPr>
                <w:rFonts w:cs="Arial"/>
                <w:i/>
                <w:iCs/>
                <w:sz w:val="22"/>
                <w:szCs w:val="22"/>
              </w:rPr>
            </w:pPr>
            <w:r w:rsidRPr="00FC208D">
              <w:rPr>
                <w:rFonts w:cs="Arial"/>
                <w:i/>
                <w:iCs/>
                <w:sz w:val="22"/>
                <w:szCs w:val="22"/>
              </w:rPr>
              <w:t>Inherent Risk Score = 16 (High)</w:t>
            </w:r>
          </w:p>
          <w:p w14:paraId="53C587F1" w14:textId="77777777" w:rsidR="00A40733" w:rsidRPr="00FC208D" w:rsidRDefault="00A40733" w:rsidP="00A40733">
            <w:pPr>
              <w:spacing w:after="0"/>
              <w:jc w:val="both"/>
              <w:rPr>
                <w:rFonts w:cs="Arial"/>
                <w:i/>
                <w:iCs/>
                <w:sz w:val="22"/>
                <w:szCs w:val="22"/>
              </w:rPr>
            </w:pPr>
            <w:r w:rsidRPr="00FC208D">
              <w:rPr>
                <w:rFonts w:cs="Arial"/>
                <w:i/>
                <w:iCs/>
                <w:sz w:val="22"/>
                <w:szCs w:val="22"/>
              </w:rPr>
              <w:t>(Likelihood 4 x Consequences 4)</w:t>
            </w:r>
          </w:p>
          <w:p w14:paraId="5BFCF9B2" w14:textId="77777777" w:rsidR="00A40733" w:rsidRPr="00FC208D" w:rsidRDefault="00A40733" w:rsidP="00A40733">
            <w:pPr>
              <w:spacing w:after="0"/>
              <w:jc w:val="both"/>
              <w:rPr>
                <w:rFonts w:cs="Arial"/>
                <w:i/>
                <w:iCs/>
                <w:sz w:val="22"/>
                <w:szCs w:val="22"/>
              </w:rPr>
            </w:pPr>
          </w:p>
          <w:p w14:paraId="13041701" w14:textId="77777777" w:rsidR="00A40733" w:rsidRPr="00FC208D" w:rsidRDefault="00A40733" w:rsidP="00A40733">
            <w:pPr>
              <w:spacing w:after="0"/>
              <w:jc w:val="both"/>
              <w:rPr>
                <w:rFonts w:cs="Arial"/>
                <w:i/>
                <w:iCs/>
                <w:sz w:val="22"/>
                <w:szCs w:val="22"/>
              </w:rPr>
            </w:pPr>
            <w:r w:rsidRPr="00FC208D">
              <w:rPr>
                <w:rFonts w:cs="Arial"/>
                <w:i/>
                <w:iCs/>
                <w:sz w:val="22"/>
                <w:szCs w:val="22"/>
              </w:rPr>
              <w:t>Residual Risk Score = 12 (High)</w:t>
            </w:r>
          </w:p>
          <w:p w14:paraId="1EF34613" w14:textId="77777777" w:rsidR="00A40733" w:rsidRPr="00FC208D" w:rsidRDefault="00A40733" w:rsidP="00A40733">
            <w:pPr>
              <w:spacing w:after="0"/>
              <w:jc w:val="both"/>
              <w:rPr>
                <w:rFonts w:cs="Arial"/>
                <w:sz w:val="22"/>
                <w:szCs w:val="22"/>
              </w:rPr>
            </w:pPr>
            <w:r w:rsidRPr="00FC208D">
              <w:rPr>
                <w:rFonts w:cs="Arial"/>
                <w:i/>
                <w:iCs/>
                <w:sz w:val="22"/>
                <w:szCs w:val="22"/>
              </w:rPr>
              <w:t xml:space="preserve">(Likelihood </w:t>
            </w:r>
            <w:r w:rsidR="004913F4" w:rsidRPr="00FC208D">
              <w:rPr>
                <w:rFonts w:cs="Arial"/>
                <w:i/>
                <w:iCs/>
                <w:sz w:val="22"/>
                <w:szCs w:val="22"/>
              </w:rPr>
              <w:t>3 x Consequences 4</w:t>
            </w:r>
            <w:r w:rsidRPr="00FC208D">
              <w:rPr>
                <w:rFonts w:cs="Arial"/>
                <w:i/>
                <w:iCs/>
                <w:sz w:val="22"/>
                <w:szCs w:val="22"/>
              </w:rPr>
              <w:t>)</w:t>
            </w:r>
          </w:p>
          <w:p w14:paraId="75D41008" w14:textId="77777777" w:rsidR="00A40733" w:rsidRPr="00FC208D" w:rsidRDefault="00A40733" w:rsidP="00A40733">
            <w:pPr>
              <w:spacing w:after="0"/>
              <w:jc w:val="both"/>
              <w:rPr>
                <w:rFonts w:cs="Arial"/>
                <w:i/>
                <w:sz w:val="22"/>
                <w:szCs w:val="22"/>
              </w:rPr>
            </w:pPr>
          </w:p>
        </w:tc>
        <w:tc>
          <w:tcPr>
            <w:tcW w:w="4595" w:type="dxa"/>
            <w:shd w:val="clear" w:color="auto" w:fill="auto"/>
          </w:tcPr>
          <w:p w14:paraId="0A6A47F0" w14:textId="77777777" w:rsidR="00BD18AF" w:rsidRPr="00FC208D" w:rsidRDefault="00BD18AF" w:rsidP="00BD18AF">
            <w:pPr>
              <w:spacing w:after="0"/>
              <w:jc w:val="both"/>
              <w:rPr>
                <w:rFonts w:cs="Arial"/>
                <w:sz w:val="22"/>
                <w:szCs w:val="22"/>
              </w:rPr>
            </w:pPr>
            <w:r w:rsidRPr="00FC208D">
              <w:rPr>
                <w:rFonts w:cs="Arial"/>
                <w:sz w:val="22"/>
                <w:szCs w:val="22"/>
              </w:rPr>
              <w:t>Town Centre Development Framework.</w:t>
            </w:r>
          </w:p>
          <w:p w14:paraId="2A5672E4" w14:textId="77777777" w:rsidR="00BD18AF" w:rsidRPr="00FC208D" w:rsidRDefault="00BD18AF" w:rsidP="00BD18AF">
            <w:pPr>
              <w:spacing w:after="0"/>
              <w:jc w:val="both"/>
              <w:rPr>
                <w:rFonts w:cs="Arial"/>
                <w:sz w:val="22"/>
                <w:szCs w:val="22"/>
              </w:rPr>
            </w:pPr>
            <w:r w:rsidRPr="00FC208D">
              <w:rPr>
                <w:rFonts w:cs="Arial"/>
                <w:sz w:val="22"/>
                <w:szCs w:val="22"/>
              </w:rPr>
              <w:t>Town Centre Strategic Board.</w:t>
            </w:r>
          </w:p>
          <w:p w14:paraId="51827137" w14:textId="77777777" w:rsidR="00BD18AF" w:rsidRPr="00FC208D" w:rsidRDefault="00BD18AF" w:rsidP="00BD18AF">
            <w:pPr>
              <w:spacing w:after="0"/>
              <w:jc w:val="both"/>
              <w:rPr>
                <w:rFonts w:cs="Arial"/>
                <w:sz w:val="22"/>
                <w:szCs w:val="22"/>
              </w:rPr>
            </w:pPr>
            <w:r w:rsidRPr="00FC208D">
              <w:rPr>
                <w:rFonts w:cs="Arial"/>
                <w:sz w:val="22"/>
                <w:szCs w:val="22"/>
              </w:rPr>
              <w:t>Masterplan and Delivery Plan.</w:t>
            </w:r>
          </w:p>
          <w:p w14:paraId="143E2366" w14:textId="77777777" w:rsidR="00BD18AF" w:rsidRPr="00FC208D" w:rsidRDefault="00BD18AF" w:rsidP="00BD18AF">
            <w:pPr>
              <w:spacing w:after="0"/>
              <w:jc w:val="both"/>
              <w:rPr>
                <w:rFonts w:cs="Arial"/>
                <w:sz w:val="22"/>
                <w:szCs w:val="22"/>
              </w:rPr>
            </w:pPr>
            <w:r w:rsidRPr="00FC208D">
              <w:rPr>
                <w:rFonts w:cs="Arial"/>
                <w:sz w:val="22"/>
                <w:szCs w:val="22"/>
              </w:rPr>
              <w:t>Masterplan Project Board meet monthly.</w:t>
            </w:r>
          </w:p>
          <w:p w14:paraId="2EE0C06B" w14:textId="77777777" w:rsidR="00BD18AF" w:rsidRPr="00FC208D" w:rsidRDefault="00BD18AF" w:rsidP="00BD18AF">
            <w:pPr>
              <w:spacing w:after="0"/>
              <w:jc w:val="both"/>
              <w:rPr>
                <w:rFonts w:cs="Arial"/>
                <w:sz w:val="22"/>
                <w:szCs w:val="22"/>
              </w:rPr>
            </w:pPr>
            <w:r w:rsidRPr="00FC208D">
              <w:rPr>
                <w:rFonts w:cs="Arial"/>
                <w:sz w:val="22"/>
                <w:szCs w:val="22"/>
              </w:rPr>
              <w:t>Developing IPM Place Metrics for prioritisation of delivery and funding.</w:t>
            </w:r>
          </w:p>
          <w:p w14:paraId="7F42A3D5" w14:textId="77777777" w:rsidR="00BD18AF" w:rsidRPr="00FC208D" w:rsidRDefault="00BD18AF" w:rsidP="00BD18AF">
            <w:pPr>
              <w:spacing w:after="0"/>
              <w:jc w:val="both"/>
              <w:rPr>
                <w:rFonts w:cs="Arial"/>
                <w:sz w:val="22"/>
                <w:szCs w:val="22"/>
              </w:rPr>
            </w:pPr>
            <w:r w:rsidRPr="00FC208D">
              <w:rPr>
                <w:rFonts w:cs="Arial"/>
                <w:sz w:val="22"/>
                <w:szCs w:val="22"/>
              </w:rPr>
              <w:t>Monthly IE DMT Updates with key internal Directors.</w:t>
            </w:r>
          </w:p>
          <w:p w14:paraId="3A940FDA" w14:textId="77777777" w:rsidR="00BD18AF" w:rsidRPr="00FC208D" w:rsidRDefault="00BD18AF" w:rsidP="00BD18AF">
            <w:pPr>
              <w:spacing w:after="0"/>
              <w:jc w:val="both"/>
              <w:rPr>
                <w:rFonts w:cs="Arial"/>
                <w:sz w:val="22"/>
                <w:szCs w:val="22"/>
              </w:rPr>
            </w:pPr>
          </w:p>
          <w:p w14:paraId="5D30E035" w14:textId="77777777" w:rsidR="00BD18AF" w:rsidRPr="00FC208D" w:rsidRDefault="00BD18AF" w:rsidP="00BD18AF">
            <w:pPr>
              <w:spacing w:after="0"/>
              <w:jc w:val="both"/>
              <w:rPr>
                <w:rFonts w:cs="Arial"/>
                <w:sz w:val="22"/>
                <w:szCs w:val="22"/>
              </w:rPr>
            </w:pPr>
            <w:r w:rsidRPr="00FC208D">
              <w:rPr>
                <w:rFonts w:cs="Arial"/>
                <w:sz w:val="22"/>
                <w:szCs w:val="22"/>
              </w:rPr>
              <w:t xml:space="preserve">Review Summary: Whilst there have been recent positive developments, including the new pocket park being opened, a contract has been awarded for the LUF scheme, and UKSPF money secured for public realm improvements. These still represent a small portion of the town centre and their impact has not been fully realised. </w:t>
            </w:r>
          </w:p>
          <w:p w14:paraId="37162C11" w14:textId="77777777" w:rsidR="00BD18AF" w:rsidRPr="00FC208D" w:rsidRDefault="00BD18AF" w:rsidP="00BD18AF">
            <w:pPr>
              <w:spacing w:after="0"/>
              <w:jc w:val="both"/>
              <w:rPr>
                <w:rFonts w:cs="Arial"/>
                <w:sz w:val="22"/>
                <w:szCs w:val="22"/>
              </w:rPr>
            </w:pPr>
          </w:p>
          <w:p w14:paraId="68A567B5" w14:textId="77777777" w:rsidR="00BD18AF" w:rsidRPr="00FC208D" w:rsidRDefault="00BD18AF" w:rsidP="00BD18AF">
            <w:pPr>
              <w:spacing w:after="0"/>
              <w:jc w:val="both"/>
              <w:rPr>
                <w:rFonts w:cs="Arial"/>
                <w:sz w:val="22"/>
                <w:szCs w:val="22"/>
              </w:rPr>
            </w:pPr>
            <w:r w:rsidRPr="00FC208D">
              <w:rPr>
                <w:rFonts w:cs="Arial"/>
                <w:sz w:val="22"/>
                <w:szCs w:val="22"/>
              </w:rPr>
              <w:t xml:space="preserve">The Football Club promotion is also likely to help the delivery of the new football stadium with the club quoting 2026 delivery. This achievement has raised Luton’s profile nationally and led to informal inquiries about wider investment. </w:t>
            </w:r>
          </w:p>
          <w:p w14:paraId="2C887B4C" w14:textId="77777777" w:rsidR="00BD18AF" w:rsidRPr="00FC208D" w:rsidRDefault="00BD18AF" w:rsidP="00BD18AF">
            <w:pPr>
              <w:spacing w:after="0"/>
              <w:jc w:val="both"/>
              <w:rPr>
                <w:rFonts w:cs="Arial"/>
                <w:sz w:val="22"/>
                <w:szCs w:val="22"/>
              </w:rPr>
            </w:pPr>
          </w:p>
          <w:p w14:paraId="0AEEE5B5" w14:textId="77777777" w:rsidR="00BD18AF" w:rsidRPr="00FC208D" w:rsidRDefault="00BD18AF" w:rsidP="00BD18AF">
            <w:pPr>
              <w:spacing w:after="0"/>
              <w:jc w:val="both"/>
              <w:rPr>
                <w:rFonts w:cs="Arial"/>
                <w:sz w:val="22"/>
                <w:szCs w:val="22"/>
              </w:rPr>
            </w:pPr>
            <w:r w:rsidRPr="00FC208D">
              <w:rPr>
                <w:rFonts w:cs="Arial"/>
                <w:sz w:val="22"/>
                <w:szCs w:val="22"/>
              </w:rPr>
              <w:t>The Mall has now been acquired with the Fraser Group and the council is in discussions with them on their long term strategy. This is likely to see an improved uptake of vacant units in the short term (albeit, we have less vacant units than the national average).</w:t>
            </w:r>
          </w:p>
          <w:p w14:paraId="09EF1518" w14:textId="77777777" w:rsidR="00BD18AF" w:rsidRPr="00FC208D" w:rsidRDefault="00BD18AF" w:rsidP="00BD18AF">
            <w:pPr>
              <w:spacing w:after="0"/>
              <w:jc w:val="both"/>
              <w:rPr>
                <w:rFonts w:cs="Arial"/>
                <w:sz w:val="22"/>
                <w:szCs w:val="22"/>
              </w:rPr>
            </w:pPr>
          </w:p>
          <w:p w14:paraId="3408E002" w14:textId="77777777" w:rsidR="00BD18AF" w:rsidRPr="00FC208D" w:rsidRDefault="00BD18AF" w:rsidP="00BD18AF">
            <w:pPr>
              <w:spacing w:after="0"/>
              <w:jc w:val="both"/>
              <w:rPr>
                <w:rFonts w:cs="Arial"/>
                <w:sz w:val="22"/>
                <w:szCs w:val="22"/>
              </w:rPr>
            </w:pPr>
            <w:r w:rsidRPr="00FC208D">
              <w:rPr>
                <w:rFonts w:cs="Arial"/>
                <w:sz w:val="22"/>
                <w:szCs w:val="22"/>
              </w:rPr>
              <w:t xml:space="preserve">The new town place brand is to launch shortly and is to help promote the town and change incorrect perceptions. This is expected to improve local footfall and spend. </w:t>
            </w:r>
          </w:p>
          <w:p w14:paraId="53867F99" w14:textId="77777777" w:rsidR="00BD18AF" w:rsidRPr="00FC208D" w:rsidRDefault="00BD18AF" w:rsidP="00BD18AF">
            <w:pPr>
              <w:spacing w:after="0"/>
              <w:jc w:val="both"/>
              <w:rPr>
                <w:rFonts w:cs="Arial"/>
                <w:sz w:val="22"/>
                <w:szCs w:val="22"/>
              </w:rPr>
            </w:pPr>
          </w:p>
          <w:p w14:paraId="69D9E65F" w14:textId="493048FB" w:rsidR="00BD18AF" w:rsidRPr="00FC208D" w:rsidRDefault="00BD18AF" w:rsidP="00BD18AF">
            <w:pPr>
              <w:spacing w:after="0"/>
              <w:jc w:val="both"/>
              <w:rPr>
                <w:rFonts w:cs="Arial"/>
                <w:sz w:val="22"/>
                <w:szCs w:val="22"/>
              </w:rPr>
            </w:pPr>
            <w:r w:rsidRPr="00FC208D">
              <w:rPr>
                <w:rFonts w:cs="Arial"/>
                <w:sz w:val="22"/>
                <w:szCs w:val="22"/>
              </w:rPr>
              <w:t>The underlying fundamentals, recent economic turbulence and external environment remain extremely challenging.  Until inflation settles and values improve, town centre decline is a high risk. Recent continued uncertain</w:t>
            </w:r>
            <w:r w:rsidR="00D84DD5" w:rsidRPr="00FC208D">
              <w:rPr>
                <w:rFonts w:cs="Arial"/>
                <w:sz w:val="22"/>
                <w:szCs w:val="22"/>
              </w:rPr>
              <w:t>ty</w:t>
            </w:r>
            <w:r w:rsidRPr="00FC208D">
              <w:rPr>
                <w:rFonts w:cs="Arial"/>
                <w:sz w:val="22"/>
                <w:szCs w:val="22"/>
              </w:rPr>
              <w:t xml:space="preserve"> to interest rates</w:t>
            </w:r>
            <w:r w:rsidR="00D84DD5" w:rsidRPr="00FC208D">
              <w:rPr>
                <w:rFonts w:cs="Arial"/>
                <w:sz w:val="22"/>
                <w:szCs w:val="22"/>
              </w:rPr>
              <w:t>,</w:t>
            </w:r>
            <w:r w:rsidRPr="00FC208D">
              <w:rPr>
                <w:rFonts w:cs="Arial"/>
                <w:sz w:val="22"/>
                <w:szCs w:val="22"/>
              </w:rPr>
              <w:t xml:space="preserve"> as inflation stays higher than predicted levels</w:t>
            </w:r>
            <w:r w:rsidR="00D84DD5" w:rsidRPr="00FC208D">
              <w:rPr>
                <w:rFonts w:cs="Arial"/>
                <w:sz w:val="22"/>
                <w:szCs w:val="22"/>
              </w:rPr>
              <w:t>,</w:t>
            </w:r>
            <w:r w:rsidRPr="00FC208D">
              <w:rPr>
                <w:rFonts w:cs="Arial"/>
                <w:sz w:val="22"/>
                <w:szCs w:val="22"/>
              </w:rPr>
              <w:t xml:space="preserve"> has hurt investor confidence</w:t>
            </w:r>
            <w:r w:rsidR="00D84DD5" w:rsidRPr="00FC208D">
              <w:rPr>
                <w:rFonts w:cs="Arial"/>
                <w:sz w:val="22"/>
                <w:szCs w:val="22"/>
              </w:rPr>
              <w:t>.</w:t>
            </w:r>
          </w:p>
          <w:p w14:paraId="6767C9E3" w14:textId="77777777" w:rsidR="00BD18AF" w:rsidRPr="00FC208D" w:rsidRDefault="00BD18AF" w:rsidP="00BD18AF">
            <w:pPr>
              <w:spacing w:after="0"/>
              <w:jc w:val="both"/>
              <w:rPr>
                <w:rFonts w:cs="Arial"/>
                <w:sz w:val="22"/>
                <w:szCs w:val="22"/>
              </w:rPr>
            </w:pPr>
          </w:p>
          <w:p w14:paraId="50FA79DF" w14:textId="77777777" w:rsidR="006D7478" w:rsidRPr="00FC208D" w:rsidRDefault="00BD18AF" w:rsidP="00BD18AF">
            <w:pPr>
              <w:spacing w:after="0"/>
              <w:jc w:val="both"/>
              <w:rPr>
                <w:rFonts w:cs="Arial"/>
                <w:sz w:val="22"/>
                <w:szCs w:val="22"/>
              </w:rPr>
            </w:pPr>
            <w:r w:rsidRPr="00FC208D">
              <w:rPr>
                <w:rFonts w:cs="Arial"/>
                <w:sz w:val="22"/>
                <w:szCs w:val="22"/>
              </w:rPr>
              <w:t>The council has recently set up a developer forum to bring together property developers to best work with the market on delivering the right homes and the right quality to the town and town centre.</w:t>
            </w:r>
          </w:p>
          <w:p w14:paraId="7911052F" w14:textId="5C6CB221" w:rsidR="00D84DD5" w:rsidRPr="00FC208D" w:rsidRDefault="00D84DD5" w:rsidP="00BD18AF">
            <w:pPr>
              <w:spacing w:after="0"/>
              <w:jc w:val="both"/>
              <w:rPr>
                <w:rFonts w:cs="Arial"/>
                <w:sz w:val="22"/>
                <w:szCs w:val="22"/>
              </w:rPr>
            </w:pPr>
          </w:p>
        </w:tc>
      </w:tr>
    </w:tbl>
    <w:p w14:paraId="54DFB43E" w14:textId="77777777" w:rsidR="00D43320" w:rsidRDefault="00D43320" w:rsidP="00CE1F7A">
      <w:pPr>
        <w:overflowPunct/>
        <w:autoSpaceDE/>
        <w:autoSpaceDN/>
        <w:adjustRightInd/>
        <w:spacing w:after="0"/>
        <w:ind w:left="709"/>
        <w:jc w:val="both"/>
        <w:textAlignment w:val="auto"/>
        <w:rPr>
          <w:rFonts w:eastAsia="Calibri" w:cs="Arial"/>
          <w:szCs w:val="24"/>
        </w:rPr>
      </w:pPr>
    </w:p>
    <w:p w14:paraId="24139032" w14:textId="77777777" w:rsidR="00946273" w:rsidRPr="00473250" w:rsidRDefault="00473250" w:rsidP="009A7746">
      <w:pPr>
        <w:overflowPunct/>
        <w:autoSpaceDE/>
        <w:autoSpaceDN/>
        <w:adjustRightInd/>
        <w:spacing w:after="0"/>
        <w:ind w:right="-79"/>
        <w:jc w:val="both"/>
        <w:textAlignment w:val="auto"/>
        <w:rPr>
          <w:rFonts w:eastAsia="Arial Unicode MS" w:cs="Arial"/>
          <w:color w:val="000000"/>
          <w:szCs w:val="24"/>
          <w:lang w:eastAsia="en-GB"/>
        </w:rPr>
      </w:pPr>
      <w:r>
        <w:rPr>
          <w:rFonts w:cs="Arial"/>
          <w:b/>
          <w:color w:val="000000"/>
          <w:szCs w:val="24"/>
          <w:lang w:eastAsia="en-GB"/>
        </w:rPr>
        <w:t>Appendices</w:t>
      </w:r>
      <w:r w:rsidR="00946273" w:rsidRPr="00473250">
        <w:rPr>
          <w:rFonts w:cs="Arial"/>
          <w:b/>
          <w:color w:val="000000"/>
          <w:szCs w:val="24"/>
          <w:lang w:eastAsia="en-GB"/>
        </w:rPr>
        <w:t xml:space="preserve">    </w:t>
      </w:r>
      <w:r w:rsidR="00946273" w:rsidRPr="00473250">
        <w:rPr>
          <w:rFonts w:cs="Arial"/>
          <w:b/>
          <w:color w:val="000000"/>
          <w:szCs w:val="24"/>
          <w:lang w:eastAsia="en-GB"/>
        </w:rPr>
        <w:tab/>
      </w:r>
    </w:p>
    <w:p w14:paraId="1D8F8923" w14:textId="77777777" w:rsidR="00946273" w:rsidRPr="00946273" w:rsidRDefault="00946273" w:rsidP="009A7746">
      <w:pPr>
        <w:spacing w:after="0"/>
        <w:jc w:val="both"/>
        <w:rPr>
          <w:rFonts w:cs="Arial"/>
          <w:szCs w:val="24"/>
        </w:rPr>
      </w:pPr>
    </w:p>
    <w:p w14:paraId="268CB552" w14:textId="77777777" w:rsidR="00D01734" w:rsidRPr="00D01734" w:rsidRDefault="00D01734" w:rsidP="00115339">
      <w:pPr>
        <w:numPr>
          <w:ilvl w:val="0"/>
          <w:numId w:val="2"/>
        </w:numPr>
        <w:spacing w:after="0"/>
        <w:ind w:left="709" w:hanging="709"/>
        <w:jc w:val="both"/>
        <w:rPr>
          <w:rFonts w:cs="Arial"/>
          <w:szCs w:val="24"/>
        </w:rPr>
      </w:pPr>
      <w:r w:rsidRPr="00D01734">
        <w:rPr>
          <w:rFonts w:cs="Arial"/>
          <w:szCs w:val="24"/>
        </w:rPr>
        <w:t xml:space="preserve">The following appendices are attached to this report:- </w:t>
      </w:r>
    </w:p>
    <w:p w14:paraId="60ADC9B8" w14:textId="1CF3D353" w:rsidR="008A0D9A" w:rsidRDefault="00CF2A49" w:rsidP="009A7746">
      <w:pPr>
        <w:spacing w:after="0"/>
        <w:ind w:firstLine="720"/>
        <w:jc w:val="both"/>
        <w:rPr>
          <w:rFonts w:cs="Arial"/>
          <w:szCs w:val="24"/>
        </w:rPr>
      </w:pPr>
      <w:r>
        <w:rPr>
          <w:rFonts w:cs="Arial"/>
          <w:szCs w:val="24"/>
        </w:rPr>
        <w:t>Appendix A</w:t>
      </w:r>
      <w:r w:rsidR="008A0D9A">
        <w:rPr>
          <w:rFonts w:cs="Arial"/>
          <w:szCs w:val="24"/>
        </w:rPr>
        <w:t xml:space="preserve"> – Zurich Municipal Risk Appetite Report</w:t>
      </w:r>
    </w:p>
    <w:p w14:paraId="5B3E3814" w14:textId="7B651AA0" w:rsidR="00D01734" w:rsidRPr="00D01734" w:rsidRDefault="002E26F5" w:rsidP="009A7746">
      <w:pPr>
        <w:spacing w:after="0"/>
        <w:ind w:firstLine="720"/>
        <w:jc w:val="both"/>
        <w:rPr>
          <w:rFonts w:cs="Arial"/>
          <w:szCs w:val="24"/>
        </w:rPr>
      </w:pPr>
      <w:r>
        <w:rPr>
          <w:rFonts w:cs="Arial"/>
          <w:szCs w:val="24"/>
        </w:rPr>
        <w:t xml:space="preserve">Appendix </w:t>
      </w:r>
      <w:r w:rsidR="00CF2A49">
        <w:rPr>
          <w:rFonts w:cs="Arial"/>
          <w:szCs w:val="24"/>
        </w:rPr>
        <w:t>B</w:t>
      </w:r>
      <w:r w:rsidR="00D01734" w:rsidRPr="00D01734">
        <w:rPr>
          <w:rFonts w:cs="Arial"/>
          <w:szCs w:val="24"/>
        </w:rPr>
        <w:t xml:space="preserve"> – </w:t>
      </w:r>
      <w:r w:rsidR="00547E43">
        <w:rPr>
          <w:rFonts w:cs="Arial"/>
          <w:szCs w:val="24"/>
        </w:rPr>
        <w:t xml:space="preserve">Luton Council </w:t>
      </w:r>
      <w:r w:rsidR="008A0D9A">
        <w:rPr>
          <w:rFonts w:cs="Arial"/>
          <w:szCs w:val="24"/>
        </w:rPr>
        <w:t>Corporate Risk Register Update</w:t>
      </w:r>
    </w:p>
    <w:p w14:paraId="7CFA427C" w14:textId="77777777" w:rsidR="00946273" w:rsidRDefault="00946273" w:rsidP="009A7746">
      <w:pPr>
        <w:spacing w:after="0"/>
        <w:jc w:val="both"/>
        <w:rPr>
          <w:rFonts w:cs="Arial"/>
          <w:b/>
          <w:szCs w:val="24"/>
          <w:u w:val="single"/>
        </w:rPr>
      </w:pPr>
    </w:p>
    <w:p w14:paraId="27D58C7B" w14:textId="77777777" w:rsidR="00473250" w:rsidRPr="00473250" w:rsidRDefault="00473250" w:rsidP="009A7746">
      <w:pPr>
        <w:spacing w:after="0"/>
        <w:jc w:val="both"/>
        <w:rPr>
          <w:rFonts w:cs="Arial"/>
          <w:b/>
          <w:szCs w:val="24"/>
        </w:rPr>
      </w:pPr>
      <w:r w:rsidRPr="00473250">
        <w:rPr>
          <w:rFonts w:cs="Arial"/>
          <w:b/>
          <w:szCs w:val="24"/>
        </w:rPr>
        <w:t>List of Background Papers - Local Government Act 1972, Section 100D</w:t>
      </w:r>
    </w:p>
    <w:p w14:paraId="467B00DB" w14:textId="77777777" w:rsidR="00473250" w:rsidRPr="00946273" w:rsidRDefault="00473250" w:rsidP="009A7746">
      <w:pPr>
        <w:spacing w:after="0"/>
        <w:jc w:val="both"/>
        <w:rPr>
          <w:rFonts w:cs="Arial"/>
          <w:b/>
          <w:szCs w:val="24"/>
          <w:u w:val="single"/>
        </w:rPr>
      </w:pPr>
    </w:p>
    <w:p w14:paraId="556FF571" w14:textId="51303232" w:rsidR="008A0D9A" w:rsidRDefault="00D01734" w:rsidP="00115339">
      <w:pPr>
        <w:numPr>
          <w:ilvl w:val="0"/>
          <w:numId w:val="2"/>
        </w:numPr>
        <w:spacing w:after="0"/>
        <w:ind w:left="709" w:hanging="709"/>
        <w:jc w:val="both"/>
        <w:rPr>
          <w:rFonts w:cs="Arial"/>
          <w:szCs w:val="24"/>
        </w:rPr>
      </w:pPr>
      <w:r>
        <w:rPr>
          <w:rFonts w:cs="Arial"/>
          <w:szCs w:val="24"/>
        </w:rPr>
        <w:t xml:space="preserve">(a) </w:t>
      </w:r>
      <w:r w:rsidR="008A0D9A">
        <w:rPr>
          <w:rFonts w:cs="Arial"/>
          <w:szCs w:val="24"/>
        </w:rPr>
        <w:t>Corporate Risk Register</w:t>
      </w:r>
    </w:p>
    <w:p w14:paraId="6C98012A" w14:textId="1A981723" w:rsidR="008A0D9A" w:rsidRDefault="008A0D9A" w:rsidP="008A0D9A">
      <w:pPr>
        <w:spacing w:after="0"/>
        <w:ind w:left="709"/>
        <w:jc w:val="both"/>
        <w:rPr>
          <w:rFonts w:cs="Arial"/>
          <w:szCs w:val="24"/>
        </w:rPr>
      </w:pPr>
      <w:r>
        <w:rPr>
          <w:rFonts w:cs="Arial"/>
          <w:szCs w:val="24"/>
        </w:rPr>
        <w:t>(b) The Global Risk Report 2024</w:t>
      </w:r>
    </w:p>
    <w:p w14:paraId="69884420" w14:textId="54EB688B" w:rsidR="00D01734" w:rsidRPr="004F4E08" w:rsidRDefault="008A0D9A" w:rsidP="008A0D9A">
      <w:pPr>
        <w:spacing w:after="0"/>
        <w:ind w:left="709"/>
        <w:jc w:val="both"/>
        <w:rPr>
          <w:rFonts w:cs="Arial"/>
          <w:szCs w:val="24"/>
        </w:rPr>
      </w:pPr>
      <w:r>
        <w:rPr>
          <w:rFonts w:cs="Arial"/>
          <w:szCs w:val="24"/>
        </w:rPr>
        <w:t>(c) Zurich Municipal Risk Appetite Report</w:t>
      </w:r>
      <w:r w:rsidR="00D01734" w:rsidRPr="004F4E08">
        <w:rPr>
          <w:rFonts w:cs="Arial"/>
          <w:szCs w:val="24"/>
        </w:rPr>
        <w:tab/>
      </w:r>
    </w:p>
    <w:p w14:paraId="2BAA81C7" w14:textId="77777777" w:rsidR="00D01734" w:rsidRDefault="00D01734" w:rsidP="009A7746">
      <w:pPr>
        <w:pStyle w:val="SectionHeader2"/>
        <w:spacing w:before="0" w:after="0"/>
      </w:pPr>
    </w:p>
    <w:p w14:paraId="47417653" w14:textId="77777777" w:rsidR="00473250" w:rsidRDefault="00473250" w:rsidP="00D01734">
      <w:pPr>
        <w:pStyle w:val="SectionHeader2"/>
        <w:spacing w:before="0" w:after="0"/>
      </w:pPr>
      <w:r w:rsidRPr="0083377D">
        <w:t>Implications</w:t>
      </w:r>
    </w:p>
    <w:p w14:paraId="35652F7C" w14:textId="77777777" w:rsidR="00D01734" w:rsidRPr="0089051B" w:rsidRDefault="00D01734" w:rsidP="00D01734">
      <w:pPr>
        <w:pStyle w:val="SectionHeader2"/>
        <w:spacing w:before="0" w:after="0"/>
      </w:pPr>
    </w:p>
    <w:tbl>
      <w:tblPr>
        <w:tblStyle w:val="TableGrid"/>
        <w:tblW w:w="5000" w:type="pct"/>
        <w:tblLook w:val="06A0" w:firstRow="1" w:lastRow="0" w:firstColumn="1" w:lastColumn="0" w:noHBand="1" w:noVBand="1"/>
        <w:tblCaption w:val="Implications"/>
      </w:tblPr>
      <w:tblGrid>
        <w:gridCol w:w="1719"/>
        <w:gridCol w:w="3676"/>
        <w:gridCol w:w="1988"/>
        <w:gridCol w:w="1821"/>
      </w:tblGrid>
      <w:tr w:rsidR="00473250" w:rsidRPr="00767EA3" w14:paraId="09F6A5CD" w14:textId="77777777" w:rsidTr="001B21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4" w:type="pct"/>
          </w:tcPr>
          <w:p w14:paraId="05DB8004" w14:textId="77777777" w:rsidR="00473250" w:rsidRPr="00767EA3" w:rsidRDefault="00473250" w:rsidP="00EF0B97">
            <w:pPr>
              <w:spacing w:after="0"/>
            </w:pPr>
            <w:r w:rsidRPr="00767EA3">
              <w:t>Item</w:t>
            </w:r>
          </w:p>
        </w:tc>
        <w:tc>
          <w:tcPr>
            <w:tcW w:w="1997" w:type="pct"/>
          </w:tcPr>
          <w:p w14:paraId="50CAD65E" w14:textId="77777777" w:rsidR="00473250" w:rsidRPr="00767EA3" w:rsidRDefault="00473250" w:rsidP="00EF0B97">
            <w:pPr>
              <w:spacing w:after="0"/>
              <w:cnfStyle w:val="100000000000" w:firstRow="1" w:lastRow="0" w:firstColumn="0" w:lastColumn="0" w:oddVBand="0" w:evenVBand="0" w:oddHBand="0" w:evenHBand="0" w:firstRowFirstColumn="0" w:firstRowLastColumn="0" w:lastRowFirstColumn="0" w:lastRowLastColumn="0"/>
            </w:pPr>
            <w:r w:rsidRPr="00767EA3">
              <w:t>Details</w:t>
            </w:r>
          </w:p>
        </w:tc>
        <w:tc>
          <w:tcPr>
            <w:tcW w:w="1080" w:type="pct"/>
          </w:tcPr>
          <w:p w14:paraId="108EC7D7" w14:textId="77777777" w:rsidR="00473250" w:rsidRPr="00767EA3" w:rsidRDefault="00473250" w:rsidP="00EF0B97">
            <w:pPr>
              <w:spacing w:after="0"/>
              <w:cnfStyle w:val="100000000000" w:firstRow="1" w:lastRow="0" w:firstColumn="0" w:lastColumn="0" w:oddVBand="0" w:evenVBand="0" w:oddHBand="0" w:evenHBand="0" w:firstRowFirstColumn="0" w:firstRowLastColumn="0" w:lastRowFirstColumn="0" w:lastRowLastColumn="0"/>
            </w:pPr>
            <w:r w:rsidRPr="00767EA3">
              <w:t>Clearance</w:t>
            </w:r>
            <w:r>
              <w:t xml:space="preserve"> </w:t>
            </w:r>
            <w:r w:rsidRPr="00767EA3">
              <w:t>Agreed By</w:t>
            </w:r>
          </w:p>
        </w:tc>
        <w:tc>
          <w:tcPr>
            <w:tcW w:w="989" w:type="pct"/>
          </w:tcPr>
          <w:p w14:paraId="509547F7" w14:textId="77777777" w:rsidR="00473250" w:rsidRPr="00767EA3" w:rsidRDefault="00473250" w:rsidP="00EF0B97">
            <w:pPr>
              <w:spacing w:after="0"/>
              <w:cnfStyle w:val="100000000000" w:firstRow="1" w:lastRow="0" w:firstColumn="0" w:lastColumn="0" w:oddVBand="0" w:evenVBand="0" w:oddHBand="0" w:evenHBand="0" w:firstRowFirstColumn="0" w:firstRowLastColumn="0" w:lastRowFirstColumn="0" w:lastRowLastColumn="0"/>
            </w:pPr>
            <w:r w:rsidRPr="00767EA3">
              <w:t>Dated</w:t>
            </w:r>
          </w:p>
        </w:tc>
      </w:tr>
      <w:tr w:rsidR="00B81C52" w:rsidRPr="00767EA3" w14:paraId="295AFB3E" w14:textId="77777777" w:rsidTr="001B2154">
        <w:trPr>
          <w:trHeight w:val="567"/>
        </w:trPr>
        <w:tc>
          <w:tcPr>
            <w:cnfStyle w:val="001000000000" w:firstRow="0" w:lastRow="0" w:firstColumn="1" w:lastColumn="0" w:oddVBand="0" w:evenVBand="0" w:oddHBand="0" w:evenHBand="0" w:firstRowFirstColumn="0" w:firstRowLastColumn="0" w:lastRowFirstColumn="0" w:lastRowLastColumn="0"/>
            <w:tcW w:w="934" w:type="pct"/>
          </w:tcPr>
          <w:p w14:paraId="56435F7F" w14:textId="77777777" w:rsidR="00B81C52" w:rsidRPr="00A77E1C" w:rsidRDefault="00B81C52" w:rsidP="00B81C52">
            <w:pPr>
              <w:spacing w:after="0"/>
            </w:pPr>
            <w:r w:rsidRPr="00A77E1C">
              <w:t>Legal</w:t>
            </w:r>
          </w:p>
        </w:tc>
        <w:tc>
          <w:tcPr>
            <w:tcW w:w="1997" w:type="pct"/>
            <w:shd w:val="clear" w:color="auto" w:fill="auto"/>
          </w:tcPr>
          <w:p w14:paraId="705C0662"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r w:rsidRPr="00A77E1C">
              <w:rPr>
                <w:rFonts w:cs="Arial"/>
                <w:bCs/>
                <w:szCs w:val="24"/>
              </w:rPr>
              <w:t xml:space="preserve">The Accounts and Audit Regulations 2015 places an obligation on local authorities to maintain a system of internal audit whereby it: </w:t>
            </w:r>
          </w:p>
          <w:p w14:paraId="156DD723" w14:textId="5B7717E2" w:rsidR="00B81C52" w:rsidRPr="00A77E1C" w:rsidRDefault="002245AD"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i/>
                <w:szCs w:val="24"/>
              </w:rPr>
            </w:pPr>
            <w:r>
              <w:rPr>
                <w:rFonts w:cs="Arial"/>
                <w:bCs/>
                <w:i/>
                <w:szCs w:val="24"/>
              </w:rPr>
              <w:t xml:space="preserve">3(a) </w:t>
            </w:r>
            <w:r w:rsidR="00B81C52" w:rsidRPr="00A77E1C">
              <w:rPr>
                <w:rFonts w:cs="Arial"/>
                <w:bCs/>
                <w:i/>
                <w:szCs w:val="24"/>
              </w:rPr>
              <w:t xml:space="preserve">facilitates the effective exercise of its functions and the achievement of its aims and objectives; </w:t>
            </w:r>
          </w:p>
          <w:p w14:paraId="31E3252B"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i/>
                <w:szCs w:val="24"/>
              </w:rPr>
            </w:pPr>
            <w:r w:rsidRPr="00A77E1C">
              <w:rPr>
                <w:rFonts w:cs="Arial"/>
                <w:bCs/>
                <w:i/>
                <w:szCs w:val="24"/>
              </w:rPr>
              <w:t xml:space="preserve">(b) ensures that the financial and operational management of the authority is effective; and </w:t>
            </w:r>
          </w:p>
          <w:p w14:paraId="7215B916"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i/>
                <w:szCs w:val="24"/>
              </w:rPr>
            </w:pPr>
            <w:r w:rsidRPr="00A77E1C">
              <w:rPr>
                <w:rFonts w:cs="Arial"/>
                <w:bCs/>
                <w:i/>
                <w:szCs w:val="24"/>
              </w:rPr>
              <w:t xml:space="preserve">(c) includes effective arrangements for the management of risk. </w:t>
            </w:r>
          </w:p>
          <w:p w14:paraId="466A725C"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p>
          <w:p w14:paraId="7CB20684" w14:textId="41CD82C8" w:rsidR="00B81C52" w:rsidRPr="00A77E1C" w:rsidRDefault="002245AD"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 xml:space="preserve">5(1) </w:t>
            </w:r>
            <w:r w:rsidR="00B81C52" w:rsidRPr="00A77E1C">
              <w:rPr>
                <w:rFonts w:cs="Arial"/>
                <w:bCs/>
                <w:szCs w:val="24"/>
              </w:rPr>
              <w:t xml:space="preserve">The relevant authority must undertake an effective internal audit to evaluate the effectiveness of its risk management, control and governance processes, and take into account public sector internal auditing standards or guidance. </w:t>
            </w:r>
          </w:p>
          <w:p w14:paraId="54B0E0A6"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p>
          <w:p w14:paraId="20A73352" w14:textId="00C849D4" w:rsidR="00B81C52" w:rsidRPr="00A77E1C" w:rsidRDefault="002245AD"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 xml:space="preserve">6(1) </w:t>
            </w:r>
            <w:r w:rsidR="00B81C52" w:rsidRPr="00A77E1C">
              <w:rPr>
                <w:rFonts w:cs="Arial"/>
                <w:bCs/>
                <w:szCs w:val="24"/>
              </w:rPr>
              <w:t xml:space="preserve">Each financial year the council must conduct a review of the effectiveness of the system of internal control required by regulation </w:t>
            </w:r>
            <w:r>
              <w:rPr>
                <w:rFonts w:cs="Arial"/>
                <w:bCs/>
                <w:szCs w:val="24"/>
              </w:rPr>
              <w:t xml:space="preserve">3 (see above) </w:t>
            </w:r>
            <w:r w:rsidR="00B81C52" w:rsidRPr="00A77E1C">
              <w:rPr>
                <w:rFonts w:cs="Arial"/>
                <w:bCs/>
                <w:szCs w:val="24"/>
              </w:rPr>
              <w:t xml:space="preserve">and prepare an annual governance statement. </w:t>
            </w:r>
          </w:p>
          <w:p w14:paraId="4968A3A9" w14:textId="77777777" w:rsidR="00B81C52" w:rsidRPr="00A77E1C"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p>
          <w:p w14:paraId="4E5B6030" w14:textId="6F11CC60" w:rsidR="00B81C52" w:rsidRPr="00420739" w:rsidRDefault="00B81C52" w:rsidP="00B81C52">
            <w:pPr>
              <w:tabs>
                <w:tab w:val="left" w:pos="709"/>
                <w:tab w:val="left" w:pos="851"/>
              </w:tabs>
              <w:spacing w:after="0"/>
              <w:jc w:val="both"/>
              <w:cnfStyle w:val="000000000000" w:firstRow="0" w:lastRow="0" w:firstColumn="0" w:lastColumn="0" w:oddVBand="0" w:evenVBand="0" w:oddHBand="0" w:evenHBand="0" w:firstRowFirstColumn="0" w:firstRowLastColumn="0" w:lastRowFirstColumn="0" w:lastRowLastColumn="0"/>
              <w:rPr>
                <w:rFonts w:cs="Arial"/>
                <w:bCs/>
                <w:szCs w:val="24"/>
              </w:rPr>
            </w:pPr>
            <w:r w:rsidRPr="00A77E1C">
              <w:rPr>
                <w:rFonts w:cs="Arial"/>
                <w:bCs/>
                <w:szCs w:val="24"/>
              </w:rPr>
              <w:t>This report addresses</w:t>
            </w:r>
            <w:r w:rsidR="00BB2AB2">
              <w:rPr>
                <w:rFonts w:cs="Arial"/>
                <w:bCs/>
                <w:szCs w:val="24"/>
              </w:rPr>
              <w:t xml:space="preserve"> </w:t>
            </w:r>
            <w:r w:rsidRPr="00A77E1C">
              <w:rPr>
                <w:rFonts w:cs="Arial"/>
                <w:bCs/>
                <w:szCs w:val="24"/>
              </w:rPr>
              <w:t>the statutory obligations for local audit processes in compliance with the 2015 Regulations in particular with regard to the requirement for the Council to have in place arrangements for the management of risk.</w:t>
            </w:r>
            <w:r w:rsidRPr="00420739">
              <w:rPr>
                <w:rFonts w:cs="Arial"/>
                <w:szCs w:val="24"/>
              </w:rPr>
              <w:t xml:space="preserve"> </w:t>
            </w:r>
          </w:p>
          <w:p w14:paraId="14A892A4" w14:textId="522C7068" w:rsidR="00B81C52" w:rsidRPr="00A77E1C" w:rsidRDefault="00B81C52" w:rsidP="00B81C52">
            <w:pPr>
              <w:tabs>
                <w:tab w:val="left" w:pos="709"/>
                <w:tab w:val="left" w:pos="851"/>
              </w:tabs>
              <w:spacing w:after="0"/>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1080" w:type="pct"/>
            <w:shd w:val="clear" w:color="auto" w:fill="auto"/>
          </w:tcPr>
          <w:p w14:paraId="01A5185D" w14:textId="77777777" w:rsidR="00115845" w:rsidRPr="00115845" w:rsidRDefault="00115845" w:rsidP="00115845">
            <w:pPr>
              <w:spacing w:after="0"/>
              <w:cnfStyle w:val="000000000000" w:firstRow="0" w:lastRow="0" w:firstColumn="0" w:lastColumn="0" w:oddVBand="0" w:evenVBand="0" w:oddHBand="0" w:evenHBand="0" w:firstRowFirstColumn="0" w:firstRowLastColumn="0" w:lastRowFirstColumn="0" w:lastRowLastColumn="0"/>
            </w:pPr>
            <w:r w:rsidRPr="00115845">
              <w:t>Elaine Addy</w:t>
            </w:r>
          </w:p>
          <w:p w14:paraId="35A44DDA" w14:textId="77777777" w:rsidR="00115845" w:rsidRPr="00115845" w:rsidRDefault="00115845" w:rsidP="00115845">
            <w:pPr>
              <w:spacing w:after="0"/>
              <w:cnfStyle w:val="000000000000" w:firstRow="0" w:lastRow="0" w:firstColumn="0" w:lastColumn="0" w:oddVBand="0" w:evenVBand="0" w:oddHBand="0" w:evenHBand="0" w:firstRowFirstColumn="0" w:firstRowLastColumn="0" w:lastRowFirstColumn="0" w:lastRowLastColumn="0"/>
            </w:pPr>
            <w:r w:rsidRPr="00115845">
              <w:t>Childcare Solicitor</w:t>
            </w:r>
          </w:p>
          <w:p w14:paraId="220E4E0F" w14:textId="667F98B3" w:rsidR="00B81C52" w:rsidRPr="00115845" w:rsidRDefault="00B81C52" w:rsidP="00115845">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auto"/>
          </w:tcPr>
          <w:p w14:paraId="19D55CEF" w14:textId="2617F79C" w:rsidR="00B81C52" w:rsidRPr="00115845" w:rsidRDefault="00115845" w:rsidP="00B81C52">
            <w:pPr>
              <w:spacing w:after="0"/>
              <w:cnfStyle w:val="000000000000" w:firstRow="0" w:lastRow="0" w:firstColumn="0" w:lastColumn="0" w:oddVBand="0" w:evenVBand="0" w:oddHBand="0" w:evenHBand="0" w:firstRowFirstColumn="0" w:firstRowLastColumn="0" w:lastRowFirstColumn="0" w:lastRowLastColumn="0"/>
            </w:pPr>
            <w:bookmarkStart w:id="1" w:name="LastEdit"/>
            <w:bookmarkEnd w:id="1"/>
            <w:r w:rsidRPr="00115845">
              <w:t>28.02.2024</w:t>
            </w:r>
          </w:p>
        </w:tc>
      </w:tr>
      <w:tr w:rsidR="005819BA" w:rsidRPr="00767EA3" w14:paraId="7EC9A650" w14:textId="77777777" w:rsidTr="007E1DF4">
        <w:trPr>
          <w:trHeight w:val="567"/>
        </w:trPr>
        <w:tc>
          <w:tcPr>
            <w:cnfStyle w:val="001000000000" w:firstRow="0" w:lastRow="0" w:firstColumn="1" w:lastColumn="0" w:oddVBand="0" w:evenVBand="0" w:oddHBand="0" w:evenHBand="0" w:firstRowFirstColumn="0" w:firstRowLastColumn="0" w:lastRowFirstColumn="0" w:lastRowLastColumn="0"/>
            <w:tcW w:w="934" w:type="pct"/>
          </w:tcPr>
          <w:p w14:paraId="226538C4" w14:textId="77777777" w:rsidR="005819BA" w:rsidRPr="00767EA3" w:rsidRDefault="005819BA" w:rsidP="005819BA">
            <w:pPr>
              <w:spacing w:after="0"/>
            </w:pPr>
            <w:r>
              <w:t>Finance</w:t>
            </w:r>
          </w:p>
        </w:tc>
        <w:tc>
          <w:tcPr>
            <w:tcW w:w="1997" w:type="pct"/>
            <w:shd w:val="clear" w:color="auto" w:fill="auto"/>
          </w:tcPr>
          <w:p w14:paraId="203F765F"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r w:rsidRPr="00B16A98">
              <w:t xml:space="preserve">There are no financial implications to this Report other than those set out in the body of this Report.  </w:t>
            </w:r>
          </w:p>
        </w:tc>
        <w:tc>
          <w:tcPr>
            <w:tcW w:w="1080" w:type="pct"/>
          </w:tcPr>
          <w:p w14:paraId="2AE1CD8D" w14:textId="77777777" w:rsidR="00B34440" w:rsidRDefault="00FC208D" w:rsidP="005819BA">
            <w:pPr>
              <w:spacing w:after="0"/>
              <w:cnfStyle w:val="000000000000" w:firstRow="0" w:lastRow="0" w:firstColumn="0" w:lastColumn="0" w:oddVBand="0" w:evenVBand="0" w:oddHBand="0" w:evenHBand="0" w:firstRowFirstColumn="0" w:firstRowLastColumn="0" w:lastRowFirstColumn="0" w:lastRowLastColumn="0"/>
            </w:pPr>
            <w:r>
              <w:t>Dev Gopal</w:t>
            </w:r>
          </w:p>
          <w:p w14:paraId="2A1C4C70" w14:textId="44056605" w:rsidR="00FC208D" w:rsidRPr="00E73C8D" w:rsidRDefault="00FC208D" w:rsidP="005819BA">
            <w:pPr>
              <w:spacing w:after="0"/>
              <w:cnfStyle w:val="000000000000" w:firstRow="0" w:lastRow="0" w:firstColumn="0" w:lastColumn="0" w:oddVBand="0" w:evenVBand="0" w:oddHBand="0" w:evenHBand="0" w:firstRowFirstColumn="0" w:firstRowLastColumn="0" w:lastRowFirstColumn="0" w:lastRowLastColumn="0"/>
            </w:pPr>
            <w:r>
              <w:t>Service Director Finance, Revenues and Benefits</w:t>
            </w:r>
          </w:p>
        </w:tc>
        <w:tc>
          <w:tcPr>
            <w:tcW w:w="989" w:type="pct"/>
          </w:tcPr>
          <w:p w14:paraId="1AAD20A2" w14:textId="4AACE472" w:rsidR="005819BA" w:rsidRPr="00E73C8D" w:rsidRDefault="00115845" w:rsidP="005819BA">
            <w:pPr>
              <w:spacing w:after="0"/>
              <w:cnfStyle w:val="000000000000" w:firstRow="0" w:lastRow="0" w:firstColumn="0" w:lastColumn="0" w:oddVBand="0" w:evenVBand="0" w:oddHBand="0" w:evenHBand="0" w:firstRowFirstColumn="0" w:firstRowLastColumn="0" w:lastRowFirstColumn="0" w:lastRowLastColumn="0"/>
            </w:pPr>
            <w:r>
              <w:t>29/2/24</w:t>
            </w:r>
          </w:p>
        </w:tc>
      </w:tr>
      <w:tr w:rsidR="005819BA" w:rsidRPr="00767EA3" w14:paraId="4AF5B5F3"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18FE4580" w14:textId="77777777" w:rsidR="005819BA" w:rsidRDefault="005819BA" w:rsidP="005819BA">
            <w:pPr>
              <w:spacing w:after="0"/>
            </w:pPr>
            <w:r>
              <w:t>Equalities</w:t>
            </w:r>
          </w:p>
        </w:tc>
        <w:tc>
          <w:tcPr>
            <w:tcW w:w="1997" w:type="pct"/>
            <w:shd w:val="clear" w:color="auto" w:fill="D9D9D9" w:themeFill="background1" w:themeFillShade="D9"/>
          </w:tcPr>
          <w:p w14:paraId="6DBCEB7B"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03A2BF6E"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15968840"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r w:rsidR="005819BA" w:rsidRPr="00767EA3" w14:paraId="0FAC402E"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4F51F5AE" w14:textId="77777777" w:rsidR="005819BA" w:rsidRDefault="005819BA" w:rsidP="005819BA">
            <w:pPr>
              <w:spacing w:after="0"/>
            </w:pPr>
            <w:r>
              <w:t>Environment</w:t>
            </w:r>
          </w:p>
        </w:tc>
        <w:tc>
          <w:tcPr>
            <w:tcW w:w="1997" w:type="pct"/>
            <w:shd w:val="clear" w:color="auto" w:fill="D9D9D9" w:themeFill="background1" w:themeFillShade="D9"/>
          </w:tcPr>
          <w:p w14:paraId="164AFC37"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55BA81F3"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6F183B6A"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r w:rsidR="005819BA" w:rsidRPr="00767EA3" w14:paraId="04C0F1C3"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5E26E320" w14:textId="77777777" w:rsidR="005819BA" w:rsidRDefault="005819BA" w:rsidP="005819BA">
            <w:pPr>
              <w:spacing w:after="0"/>
            </w:pPr>
            <w:r>
              <w:t>Community Safety</w:t>
            </w:r>
          </w:p>
        </w:tc>
        <w:tc>
          <w:tcPr>
            <w:tcW w:w="1997" w:type="pct"/>
            <w:shd w:val="clear" w:color="auto" w:fill="D9D9D9" w:themeFill="background1" w:themeFillShade="D9"/>
          </w:tcPr>
          <w:p w14:paraId="14E4283B"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0FE81E9A"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56EAB224"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r w:rsidR="005819BA" w:rsidRPr="00767EA3" w14:paraId="37236B6A"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790781C8" w14:textId="77777777" w:rsidR="005819BA" w:rsidRDefault="005819BA" w:rsidP="005819BA">
            <w:pPr>
              <w:spacing w:after="0"/>
            </w:pPr>
            <w:r>
              <w:t>Staffing</w:t>
            </w:r>
          </w:p>
        </w:tc>
        <w:tc>
          <w:tcPr>
            <w:tcW w:w="1997" w:type="pct"/>
            <w:shd w:val="clear" w:color="auto" w:fill="D9D9D9" w:themeFill="background1" w:themeFillShade="D9"/>
          </w:tcPr>
          <w:p w14:paraId="300ABB7C"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26C75831"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488F28F7"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r w:rsidR="005819BA" w:rsidRPr="00767EA3" w14:paraId="1222579E"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64DC999F" w14:textId="77777777" w:rsidR="005819BA" w:rsidRDefault="005819BA" w:rsidP="005819BA">
            <w:pPr>
              <w:spacing w:after="0"/>
            </w:pPr>
            <w:r>
              <w:t>Consultations</w:t>
            </w:r>
          </w:p>
        </w:tc>
        <w:tc>
          <w:tcPr>
            <w:tcW w:w="1997" w:type="pct"/>
            <w:shd w:val="clear" w:color="auto" w:fill="D9D9D9" w:themeFill="background1" w:themeFillShade="D9"/>
          </w:tcPr>
          <w:p w14:paraId="7DFE59FA"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21CEB745"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125997D4"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r w:rsidR="005819BA" w:rsidRPr="00767EA3" w14:paraId="0EF497CA" w14:textId="77777777" w:rsidTr="00D22053">
        <w:trPr>
          <w:trHeight w:val="567"/>
        </w:trPr>
        <w:tc>
          <w:tcPr>
            <w:cnfStyle w:val="001000000000" w:firstRow="0" w:lastRow="0" w:firstColumn="1" w:lastColumn="0" w:oddVBand="0" w:evenVBand="0" w:oddHBand="0" w:evenHBand="0" w:firstRowFirstColumn="0" w:firstRowLastColumn="0" w:lastRowFirstColumn="0" w:lastRowLastColumn="0"/>
            <w:tcW w:w="934" w:type="pct"/>
            <w:shd w:val="clear" w:color="auto" w:fill="D9D9D9" w:themeFill="background1" w:themeFillShade="D9"/>
          </w:tcPr>
          <w:p w14:paraId="4A87F355" w14:textId="77777777" w:rsidR="005819BA" w:rsidRDefault="005819BA" w:rsidP="005819BA">
            <w:pPr>
              <w:spacing w:after="0"/>
            </w:pPr>
            <w:r>
              <w:t>Other</w:t>
            </w:r>
          </w:p>
          <w:p w14:paraId="5C8EE0CA" w14:textId="77777777" w:rsidR="005819BA" w:rsidRDefault="005819BA" w:rsidP="005819BA">
            <w:pPr>
              <w:spacing w:after="0"/>
            </w:pPr>
          </w:p>
        </w:tc>
        <w:tc>
          <w:tcPr>
            <w:tcW w:w="1997" w:type="pct"/>
            <w:shd w:val="clear" w:color="auto" w:fill="D9D9D9" w:themeFill="background1" w:themeFillShade="D9"/>
          </w:tcPr>
          <w:p w14:paraId="70528836"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1080" w:type="pct"/>
            <w:shd w:val="clear" w:color="auto" w:fill="D9D9D9" w:themeFill="background1" w:themeFillShade="D9"/>
          </w:tcPr>
          <w:p w14:paraId="29406FDD"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c>
          <w:tcPr>
            <w:tcW w:w="989" w:type="pct"/>
            <w:shd w:val="clear" w:color="auto" w:fill="D9D9D9" w:themeFill="background1" w:themeFillShade="D9"/>
          </w:tcPr>
          <w:p w14:paraId="281028A9" w14:textId="77777777" w:rsidR="005819BA" w:rsidRPr="00767EA3" w:rsidRDefault="005819BA" w:rsidP="005819BA">
            <w:pPr>
              <w:spacing w:after="0"/>
              <w:cnfStyle w:val="000000000000" w:firstRow="0" w:lastRow="0" w:firstColumn="0" w:lastColumn="0" w:oddVBand="0" w:evenVBand="0" w:oddHBand="0" w:evenHBand="0" w:firstRowFirstColumn="0" w:firstRowLastColumn="0" w:lastRowFirstColumn="0" w:lastRowLastColumn="0"/>
            </w:pPr>
          </w:p>
        </w:tc>
      </w:tr>
    </w:tbl>
    <w:p w14:paraId="586FE34B" w14:textId="77777777" w:rsidR="00AB6918" w:rsidRDefault="00AB6918" w:rsidP="00AB6918">
      <w:pPr>
        <w:tabs>
          <w:tab w:val="left" w:pos="567"/>
        </w:tabs>
        <w:spacing w:after="0"/>
        <w:jc w:val="both"/>
        <w:rPr>
          <w:rFonts w:cs="Arial"/>
          <w:szCs w:val="24"/>
        </w:rPr>
      </w:pPr>
    </w:p>
    <w:sectPr w:rsidR="00AB6918" w:rsidSect="00AB6918">
      <w:headerReference w:type="default" r:id="rId13"/>
      <w:pgSz w:w="11906" w:h="16838" w:code="9"/>
      <w:pgMar w:top="1440" w:right="1274"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2A7E8" w14:textId="77777777" w:rsidR="0018127E" w:rsidRDefault="0018127E">
      <w:r>
        <w:separator/>
      </w:r>
    </w:p>
    <w:p w14:paraId="5B60445C" w14:textId="77777777" w:rsidR="0018127E" w:rsidRDefault="0018127E"/>
  </w:endnote>
  <w:endnote w:type="continuationSeparator" w:id="0">
    <w:p w14:paraId="79122538" w14:textId="77777777" w:rsidR="0018127E" w:rsidRDefault="0018127E">
      <w:r>
        <w:continuationSeparator/>
      </w:r>
    </w:p>
    <w:p w14:paraId="482AC762" w14:textId="77777777" w:rsidR="0018127E" w:rsidRDefault="0018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F888" w14:textId="77777777" w:rsidR="0018127E" w:rsidRDefault="0018127E">
      <w:r>
        <w:separator/>
      </w:r>
    </w:p>
    <w:p w14:paraId="12772ADD" w14:textId="77777777" w:rsidR="0018127E" w:rsidRDefault="0018127E"/>
  </w:footnote>
  <w:footnote w:type="continuationSeparator" w:id="0">
    <w:p w14:paraId="16BA7946" w14:textId="77777777" w:rsidR="0018127E" w:rsidRDefault="0018127E">
      <w:r>
        <w:continuationSeparator/>
      </w:r>
    </w:p>
    <w:p w14:paraId="0ACB368B" w14:textId="77777777" w:rsidR="0018127E" w:rsidRDefault="001812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1401" w14:textId="64BCB084" w:rsidR="0018127E" w:rsidRPr="00AB6918" w:rsidRDefault="0018127E" w:rsidP="00B55120">
    <w:pPr>
      <w:pStyle w:val="Header"/>
      <w:jc w:val="right"/>
    </w:pPr>
    <w:r>
      <w:rPr>
        <w:noProof/>
        <w:lang w:eastAsia="en-GB"/>
      </w:rPr>
      <w:drawing>
        <wp:inline distT="0" distB="0" distL="0" distR="0" wp14:anchorId="35CC952A" wp14:editId="0483449A">
          <wp:extent cx="1435100" cy="721995"/>
          <wp:effectExtent l="0" t="0" r="0" b="1905"/>
          <wp:docPr id="2" name="Picture 2" descr="Q:\Letters\LBC Logo\Luton Logo Black 40mm.jpg"/>
          <wp:cNvGraphicFramePr/>
          <a:graphic xmlns:a="http://schemas.openxmlformats.org/drawingml/2006/main">
            <a:graphicData uri="http://schemas.openxmlformats.org/drawingml/2006/picture">
              <pic:pic xmlns:pic="http://schemas.openxmlformats.org/drawingml/2006/picture">
                <pic:nvPicPr>
                  <pic:cNvPr id="2" name="Picture 2" descr="Q:\Letters\LBC Logo\Luton Logo Black 40mm.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21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7DF0"/>
    <w:multiLevelType w:val="hybridMultilevel"/>
    <w:tmpl w:val="B5506208"/>
    <w:lvl w:ilvl="0" w:tplc="08090013">
      <w:start w:val="1"/>
      <w:numFmt w:val="upperRoman"/>
      <w:lvlText w:val="%1."/>
      <w:lvlJc w:val="right"/>
      <w:pPr>
        <w:ind w:left="1407" w:hanging="360"/>
      </w:pPr>
    </w:lvl>
    <w:lvl w:ilvl="1" w:tplc="44200096">
      <w:start w:val="1"/>
      <w:numFmt w:val="decimal"/>
      <w:lvlText w:val="%2."/>
      <w:lvlJc w:val="left"/>
      <w:pPr>
        <w:ind w:left="2127" w:hanging="360"/>
      </w:pPr>
      <w:rPr>
        <w:rFonts w:hint="default"/>
      </w:r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1" w15:restartNumberingAfterBreak="0">
    <w:nsid w:val="11B15A01"/>
    <w:multiLevelType w:val="hybridMultilevel"/>
    <w:tmpl w:val="5D0293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C965FE9"/>
    <w:multiLevelType w:val="hybridMultilevel"/>
    <w:tmpl w:val="6BC4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34943"/>
    <w:multiLevelType w:val="hybridMultilevel"/>
    <w:tmpl w:val="A000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A53C8"/>
    <w:multiLevelType w:val="hybridMultilevel"/>
    <w:tmpl w:val="85A6AD54"/>
    <w:lvl w:ilvl="0" w:tplc="A2B4801A">
      <w:start w:val="1"/>
      <w:numFmt w:val="decimal"/>
      <w:lvlText w:val="%1"/>
      <w:lvlJc w:val="left"/>
      <w:pPr>
        <w:ind w:left="360" w:hanging="360"/>
      </w:pPr>
      <w:rPr>
        <w:rFonts w:hint="default"/>
        <w:b/>
      </w:rPr>
    </w:lvl>
    <w:lvl w:ilvl="1" w:tplc="08090017">
      <w:start w:val="1"/>
      <w:numFmt w:val="lowerLetter"/>
      <w:lvlText w:val="%2)"/>
      <w:lvlJc w:val="left"/>
      <w:pPr>
        <w:ind w:left="1080" w:hanging="360"/>
      </w:pPr>
    </w:lvl>
    <w:lvl w:ilvl="2" w:tplc="FDB0DA16">
      <w:start w:val="1"/>
      <w:numFmt w:val="lowerLetter"/>
      <w:lvlText w:val="%3)"/>
      <w:lvlJc w:val="left"/>
      <w:pPr>
        <w:ind w:left="2010" w:hanging="390"/>
      </w:pPr>
      <w:rPr>
        <w:rFonts w:hint="default"/>
      </w:rPr>
    </w:lvl>
    <w:lvl w:ilvl="3" w:tplc="19BA61BC">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331E86"/>
    <w:multiLevelType w:val="hybridMultilevel"/>
    <w:tmpl w:val="95A0C9DC"/>
    <w:lvl w:ilvl="0" w:tplc="5DD63B7C">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A51CA9"/>
    <w:multiLevelType w:val="hybridMultilevel"/>
    <w:tmpl w:val="48DA1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F1B69D7"/>
    <w:multiLevelType w:val="hybridMultilevel"/>
    <w:tmpl w:val="708076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68096722"/>
    <w:multiLevelType w:val="hybridMultilevel"/>
    <w:tmpl w:val="AB0E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D42A9D"/>
    <w:multiLevelType w:val="hybridMultilevel"/>
    <w:tmpl w:val="05CA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BF5158"/>
    <w:multiLevelType w:val="hybridMultilevel"/>
    <w:tmpl w:val="A49C6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5B03188"/>
    <w:multiLevelType w:val="hybridMultilevel"/>
    <w:tmpl w:val="FBF82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5F91F28"/>
    <w:multiLevelType w:val="hybridMultilevel"/>
    <w:tmpl w:val="E910D3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67B2FFD"/>
    <w:multiLevelType w:val="multilevel"/>
    <w:tmpl w:val="A44C7F0A"/>
    <w:lvl w:ilvl="0">
      <w:start w:val="1"/>
      <w:numFmt w:val="decimal"/>
      <w:pStyle w:val="NumberedParagraph"/>
      <w:lvlText w:val="%1."/>
      <w:lvlJc w:val="left"/>
      <w:pPr>
        <w:ind w:left="567" w:hanging="567"/>
      </w:pPr>
      <w:rPr>
        <w:rFonts w:hint="default"/>
        <w:b/>
        <w:i w:val="0"/>
      </w:rPr>
    </w:lvl>
    <w:lvl w:ilvl="1">
      <w:start w:val="1"/>
      <w:numFmt w:val="lowerRoman"/>
      <w:lvlText w:val="(%2)"/>
      <w:lvlJc w:val="left"/>
      <w:pPr>
        <w:ind w:left="1077" w:hanging="567"/>
      </w:pPr>
      <w:rPr>
        <w:rFonts w:hint="default"/>
        <w:b/>
        <w:i w:val="0"/>
      </w:rPr>
    </w:lvl>
    <w:lvl w:ilvl="2">
      <w:start w:val="1"/>
      <w:numFmt w:val="lowerRoman"/>
      <w:lvlText w:val="%3."/>
      <w:lvlJc w:val="left"/>
      <w:pPr>
        <w:ind w:left="1587" w:hanging="567"/>
      </w:pPr>
      <w:rPr>
        <w:rFonts w:hint="default"/>
      </w:rPr>
    </w:lvl>
    <w:lvl w:ilvl="3">
      <w:start w:val="1"/>
      <w:numFmt w:val="decimal"/>
      <w:lvlText w:val="%4."/>
      <w:lvlJc w:val="left"/>
      <w:pPr>
        <w:ind w:left="2097" w:hanging="567"/>
      </w:pPr>
      <w:rPr>
        <w:rFonts w:hint="default"/>
      </w:rPr>
    </w:lvl>
    <w:lvl w:ilvl="4">
      <w:start w:val="1"/>
      <w:numFmt w:val="lowerLetter"/>
      <w:lvlText w:val="%5."/>
      <w:lvlJc w:val="left"/>
      <w:pPr>
        <w:ind w:left="2607" w:hanging="567"/>
      </w:pPr>
      <w:rPr>
        <w:rFonts w:hint="default"/>
      </w:rPr>
    </w:lvl>
    <w:lvl w:ilvl="5">
      <w:start w:val="1"/>
      <w:numFmt w:val="lowerRoman"/>
      <w:lvlText w:val="%6."/>
      <w:lvlJc w:val="right"/>
      <w:pPr>
        <w:ind w:left="3117" w:hanging="567"/>
      </w:pPr>
      <w:rPr>
        <w:rFonts w:hint="default"/>
      </w:rPr>
    </w:lvl>
    <w:lvl w:ilvl="6">
      <w:start w:val="1"/>
      <w:numFmt w:val="decimal"/>
      <w:lvlText w:val="%7."/>
      <w:lvlJc w:val="left"/>
      <w:pPr>
        <w:ind w:left="3627" w:hanging="567"/>
      </w:pPr>
      <w:rPr>
        <w:rFonts w:hint="default"/>
      </w:rPr>
    </w:lvl>
    <w:lvl w:ilvl="7">
      <w:start w:val="1"/>
      <w:numFmt w:val="lowerLetter"/>
      <w:lvlText w:val="%8."/>
      <w:lvlJc w:val="left"/>
      <w:pPr>
        <w:ind w:left="4137" w:hanging="567"/>
      </w:pPr>
      <w:rPr>
        <w:rFonts w:hint="default"/>
      </w:rPr>
    </w:lvl>
    <w:lvl w:ilvl="8">
      <w:start w:val="1"/>
      <w:numFmt w:val="lowerRoman"/>
      <w:lvlText w:val="%9."/>
      <w:lvlJc w:val="right"/>
      <w:pPr>
        <w:ind w:left="4647" w:hanging="567"/>
      </w:pPr>
      <w:rPr>
        <w:rFonts w:hint="default"/>
      </w:rPr>
    </w:lvl>
  </w:abstractNum>
  <w:abstractNum w:abstractNumId="14" w15:restartNumberingAfterBreak="0">
    <w:nsid w:val="7F0D5D9A"/>
    <w:multiLevelType w:val="hybridMultilevel"/>
    <w:tmpl w:val="550C0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0"/>
  </w:num>
  <w:num w:numId="4">
    <w:abstractNumId w:val="1"/>
  </w:num>
  <w:num w:numId="5">
    <w:abstractNumId w:val="9"/>
  </w:num>
  <w:num w:numId="6">
    <w:abstractNumId w:val="12"/>
  </w:num>
  <w:num w:numId="7">
    <w:abstractNumId w:val="11"/>
  </w:num>
  <w:num w:numId="8">
    <w:abstractNumId w:val="10"/>
  </w:num>
  <w:num w:numId="9">
    <w:abstractNumId w:val="8"/>
  </w:num>
  <w:num w:numId="10">
    <w:abstractNumId w:val="2"/>
  </w:num>
  <w:num w:numId="11">
    <w:abstractNumId w:val="3"/>
  </w:num>
  <w:num w:numId="12">
    <w:abstractNumId w:val="14"/>
  </w:num>
  <w:num w:numId="13">
    <w:abstractNumId w:val="7"/>
  </w:num>
  <w:num w:numId="14">
    <w:abstractNumId w:val="6"/>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30"/>
    <w:rsid w:val="00000147"/>
    <w:rsid w:val="00000AB7"/>
    <w:rsid w:val="00004989"/>
    <w:rsid w:val="000055E7"/>
    <w:rsid w:val="0000696A"/>
    <w:rsid w:val="0000742B"/>
    <w:rsid w:val="00012CE3"/>
    <w:rsid w:val="00014E39"/>
    <w:rsid w:val="0001577D"/>
    <w:rsid w:val="000229B6"/>
    <w:rsid w:val="0002442F"/>
    <w:rsid w:val="00025A37"/>
    <w:rsid w:val="00026489"/>
    <w:rsid w:val="00032738"/>
    <w:rsid w:val="00032E84"/>
    <w:rsid w:val="0003644F"/>
    <w:rsid w:val="00042675"/>
    <w:rsid w:val="000430FE"/>
    <w:rsid w:val="00043C38"/>
    <w:rsid w:val="000451FF"/>
    <w:rsid w:val="0004520F"/>
    <w:rsid w:val="000459B7"/>
    <w:rsid w:val="00045AEF"/>
    <w:rsid w:val="00045D69"/>
    <w:rsid w:val="00046407"/>
    <w:rsid w:val="00046934"/>
    <w:rsid w:val="0004710B"/>
    <w:rsid w:val="00047726"/>
    <w:rsid w:val="00047C79"/>
    <w:rsid w:val="000500D8"/>
    <w:rsid w:val="000505AE"/>
    <w:rsid w:val="00050F69"/>
    <w:rsid w:val="00051FF1"/>
    <w:rsid w:val="00053F6A"/>
    <w:rsid w:val="00060464"/>
    <w:rsid w:val="00062583"/>
    <w:rsid w:val="0006284B"/>
    <w:rsid w:val="0006503F"/>
    <w:rsid w:val="00065FC5"/>
    <w:rsid w:val="000675B8"/>
    <w:rsid w:val="00070849"/>
    <w:rsid w:val="000754E8"/>
    <w:rsid w:val="000769BC"/>
    <w:rsid w:val="0007769B"/>
    <w:rsid w:val="00077A55"/>
    <w:rsid w:val="00077C91"/>
    <w:rsid w:val="000801FE"/>
    <w:rsid w:val="000815B3"/>
    <w:rsid w:val="00081969"/>
    <w:rsid w:val="0008302E"/>
    <w:rsid w:val="00085223"/>
    <w:rsid w:val="00085864"/>
    <w:rsid w:val="0008634A"/>
    <w:rsid w:val="00086BFF"/>
    <w:rsid w:val="00087693"/>
    <w:rsid w:val="000903F9"/>
    <w:rsid w:val="00090C9C"/>
    <w:rsid w:val="000926E7"/>
    <w:rsid w:val="0009314A"/>
    <w:rsid w:val="0009699F"/>
    <w:rsid w:val="00096CBC"/>
    <w:rsid w:val="00096F44"/>
    <w:rsid w:val="000A0160"/>
    <w:rsid w:val="000A1037"/>
    <w:rsid w:val="000A3377"/>
    <w:rsid w:val="000A35AE"/>
    <w:rsid w:val="000A6FF4"/>
    <w:rsid w:val="000A7F8C"/>
    <w:rsid w:val="000B1AA4"/>
    <w:rsid w:val="000B2CC2"/>
    <w:rsid w:val="000B3E20"/>
    <w:rsid w:val="000B3E44"/>
    <w:rsid w:val="000B466D"/>
    <w:rsid w:val="000C0E9B"/>
    <w:rsid w:val="000C1D42"/>
    <w:rsid w:val="000C3D4D"/>
    <w:rsid w:val="000C47ED"/>
    <w:rsid w:val="000C4DBB"/>
    <w:rsid w:val="000C6434"/>
    <w:rsid w:val="000C7980"/>
    <w:rsid w:val="000D314D"/>
    <w:rsid w:val="000D321D"/>
    <w:rsid w:val="000D385F"/>
    <w:rsid w:val="000D3A6A"/>
    <w:rsid w:val="000D7189"/>
    <w:rsid w:val="000D7907"/>
    <w:rsid w:val="000E01B7"/>
    <w:rsid w:val="000E057E"/>
    <w:rsid w:val="000E11EE"/>
    <w:rsid w:val="000E122F"/>
    <w:rsid w:val="000E3795"/>
    <w:rsid w:val="000E3A24"/>
    <w:rsid w:val="000E5578"/>
    <w:rsid w:val="000E6FAC"/>
    <w:rsid w:val="000E76D0"/>
    <w:rsid w:val="000E7ABD"/>
    <w:rsid w:val="000F5333"/>
    <w:rsid w:val="000F6763"/>
    <w:rsid w:val="00101E6D"/>
    <w:rsid w:val="00102D5B"/>
    <w:rsid w:val="0010372F"/>
    <w:rsid w:val="00104671"/>
    <w:rsid w:val="0010557C"/>
    <w:rsid w:val="00106D01"/>
    <w:rsid w:val="0010732E"/>
    <w:rsid w:val="00107621"/>
    <w:rsid w:val="00110133"/>
    <w:rsid w:val="0011016C"/>
    <w:rsid w:val="00110432"/>
    <w:rsid w:val="0011133B"/>
    <w:rsid w:val="00112B53"/>
    <w:rsid w:val="00114525"/>
    <w:rsid w:val="00114A6F"/>
    <w:rsid w:val="00115339"/>
    <w:rsid w:val="00115845"/>
    <w:rsid w:val="00116008"/>
    <w:rsid w:val="00116D35"/>
    <w:rsid w:val="00121A9D"/>
    <w:rsid w:val="001220EC"/>
    <w:rsid w:val="0012223F"/>
    <w:rsid w:val="00126707"/>
    <w:rsid w:val="00126873"/>
    <w:rsid w:val="00130F63"/>
    <w:rsid w:val="00131005"/>
    <w:rsid w:val="00133254"/>
    <w:rsid w:val="00141D9B"/>
    <w:rsid w:val="00141E5E"/>
    <w:rsid w:val="001420B7"/>
    <w:rsid w:val="00142DF0"/>
    <w:rsid w:val="0014317E"/>
    <w:rsid w:val="00147315"/>
    <w:rsid w:val="00147778"/>
    <w:rsid w:val="00151C4A"/>
    <w:rsid w:val="00152E27"/>
    <w:rsid w:val="00153D6E"/>
    <w:rsid w:val="00154136"/>
    <w:rsid w:val="001548D2"/>
    <w:rsid w:val="00160864"/>
    <w:rsid w:val="00161F22"/>
    <w:rsid w:val="00163B87"/>
    <w:rsid w:val="00163F0E"/>
    <w:rsid w:val="001645A6"/>
    <w:rsid w:val="00167661"/>
    <w:rsid w:val="0017169D"/>
    <w:rsid w:val="00172B66"/>
    <w:rsid w:val="001733DA"/>
    <w:rsid w:val="001751E9"/>
    <w:rsid w:val="00175B14"/>
    <w:rsid w:val="0017628F"/>
    <w:rsid w:val="00176CA8"/>
    <w:rsid w:val="00176F56"/>
    <w:rsid w:val="001775EE"/>
    <w:rsid w:val="00180368"/>
    <w:rsid w:val="0018127E"/>
    <w:rsid w:val="00183BCE"/>
    <w:rsid w:val="0018429D"/>
    <w:rsid w:val="00185988"/>
    <w:rsid w:val="00186FEC"/>
    <w:rsid w:val="00190889"/>
    <w:rsid w:val="00190DC1"/>
    <w:rsid w:val="001926CC"/>
    <w:rsid w:val="00192C01"/>
    <w:rsid w:val="0019366E"/>
    <w:rsid w:val="00194518"/>
    <w:rsid w:val="001A0C56"/>
    <w:rsid w:val="001A0F24"/>
    <w:rsid w:val="001A24BA"/>
    <w:rsid w:val="001A4DBA"/>
    <w:rsid w:val="001A62D2"/>
    <w:rsid w:val="001A77D5"/>
    <w:rsid w:val="001B03B4"/>
    <w:rsid w:val="001B1C0D"/>
    <w:rsid w:val="001B2154"/>
    <w:rsid w:val="001B5B13"/>
    <w:rsid w:val="001B5E6D"/>
    <w:rsid w:val="001B6499"/>
    <w:rsid w:val="001B7518"/>
    <w:rsid w:val="001C0783"/>
    <w:rsid w:val="001C0D36"/>
    <w:rsid w:val="001C1D66"/>
    <w:rsid w:val="001C5A14"/>
    <w:rsid w:val="001C7B37"/>
    <w:rsid w:val="001D2C05"/>
    <w:rsid w:val="001D35E5"/>
    <w:rsid w:val="001D43CA"/>
    <w:rsid w:val="001D68FA"/>
    <w:rsid w:val="001D736A"/>
    <w:rsid w:val="001E1E12"/>
    <w:rsid w:val="001E4F9D"/>
    <w:rsid w:val="001F2712"/>
    <w:rsid w:val="001F599F"/>
    <w:rsid w:val="001F5FCB"/>
    <w:rsid w:val="001F782D"/>
    <w:rsid w:val="002022CA"/>
    <w:rsid w:val="00202CF5"/>
    <w:rsid w:val="002045DF"/>
    <w:rsid w:val="00205D30"/>
    <w:rsid w:val="00205D39"/>
    <w:rsid w:val="00206191"/>
    <w:rsid w:val="00207267"/>
    <w:rsid w:val="00210C42"/>
    <w:rsid w:val="00212AAD"/>
    <w:rsid w:val="002147B7"/>
    <w:rsid w:val="00221C18"/>
    <w:rsid w:val="002245AD"/>
    <w:rsid w:val="0022679A"/>
    <w:rsid w:val="00230B41"/>
    <w:rsid w:val="00230B72"/>
    <w:rsid w:val="00232A05"/>
    <w:rsid w:val="0023478E"/>
    <w:rsid w:val="002404B9"/>
    <w:rsid w:val="00243B3D"/>
    <w:rsid w:val="00244D3F"/>
    <w:rsid w:val="002460FC"/>
    <w:rsid w:val="00250448"/>
    <w:rsid w:val="00252074"/>
    <w:rsid w:val="00252F0C"/>
    <w:rsid w:val="00254E65"/>
    <w:rsid w:val="00255402"/>
    <w:rsid w:val="002560FF"/>
    <w:rsid w:val="002565CD"/>
    <w:rsid w:val="00257908"/>
    <w:rsid w:val="0026258A"/>
    <w:rsid w:val="0026294D"/>
    <w:rsid w:val="00262BB1"/>
    <w:rsid w:val="00262F94"/>
    <w:rsid w:val="002705D2"/>
    <w:rsid w:val="0027179D"/>
    <w:rsid w:val="00271F85"/>
    <w:rsid w:val="00272ABE"/>
    <w:rsid w:val="00274618"/>
    <w:rsid w:val="00277B25"/>
    <w:rsid w:val="002825EA"/>
    <w:rsid w:val="00282804"/>
    <w:rsid w:val="002828FA"/>
    <w:rsid w:val="002843B1"/>
    <w:rsid w:val="0028459D"/>
    <w:rsid w:val="00286249"/>
    <w:rsid w:val="00286FEE"/>
    <w:rsid w:val="0028729B"/>
    <w:rsid w:val="0029395D"/>
    <w:rsid w:val="00293A4A"/>
    <w:rsid w:val="002941DC"/>
    <w:rsid w:val="0029514D"/>
    <w:rsid w:val="00295D35"/>
    <w:rsid w:val="002A02AF"/>
    <w:rsid w:val="002A191F"/>
    <w:rsid w:val="002A1BF1"/>
    <w:rsid w:val="002A224A"/>
    <w:rsid w:val="002A2F62"/>
    <w:rsid w:val="002A5986"/>
    <w:rsid w:val="002A70A6"/>
    <w:rsid w:val="002B1311"/>
    <w:rsid w:val="002B250C"/>
    <w:rsid w:val="002B33FB"/>
    <w:rsid w:val="002B548E"/>
    <w:rsid w:val="002B669C"/>
    <w:rsid w:val="002B6D7A"/>
    <w:rsid w:val="002C05FC"/>
    <w:rsid w:val="002C0DEC"/>
    <w:rsid w:val="002C3AAA"/>
    <w:rsid w:val="002C4205"/>
    <w:rsid w:val="002C6418"/>
    <w:rsid w:val="002C6861"/>
    <w:rsid w:val="002C6899"/>
    <w:rsid w:val="002C7A3F"/>
    <w:rsid w:val="002D1BC3"/>
    <w:rsid w:val="002D2156"/>
    <w:rsid w:val="002D244C"/>
    <w:rsid w:val="002D3C8F"/>
    <w:rsid w:val="002D772B"/>
    <w:rsid w:val="002E0C55"/>
    <w:rsid w:val="002E1B45"/>
    <w:rsid w:val="002E246D"/>
    <w:rsid w:val="002E26F5"/>
    <w:rsid w:val="002F00EA"/>
    <w:rsid w:val="002F0979"/>
    <w:rsid w:val="002F130D"/>
    <w:rsid w:val="002F2E52"/>
    <w:rsid w:val="002F4201"/>
    <w:rsid w:val="002F46F5"/>
    <w:rsid w:val="002F5887"/>
    <w:rsid w:val="002F60F2"/>
    <w:rsid w:val="002F65E3"/>
    <w:rsid w:val="002F6E06"/>
    <w:rsid w:val="002F724C"/>
    <w:rsid w:val="00301EBD"/>
    <w:rsid w:val="00305F6E"/>
    <w:rsid w:val="00306FEA"/>
    <w:rsid w:val="003115CD"/>
    <w:rsid w:val="003119E2"/>
    <w:rsid w:val="00312769"/>
    <w:rsid w:val="00312AAB"/>
    <w:rsid w:val="00312E7D"/>
    <w:rsid w:val="003137FA"/>
    <w:rsid w:val="00313910"/>
    <w:rsid w:val="003144E4"/>
    <w:rsid w:val="00314C30"/>
    <w:rsid w:val="00314DBB"/>
    <w:rsid w:val="003161F8"/>
    <w:rsid w:val="003162D6"/>
    <w:rsid w:val="00316536"/>
    <w:rsid w:val="00316CC5"/>
    <w:rsid w:val="00316EA8"/>
    <w:rsid w:val="003209A5"/>
    <w:rsid w:val="00321EC7"/>
    <w:rsid w:val="003232B5"/>
    <w:rsid w:val="0032455F"/>
    <w:rsid w:val="003247E1"/>
    <w:rsid w:val="0032532B"/>
    <w:rsid w:val="003266AE"/>
    <w:rsid w:val="00327B1A"/>
    <w:rsid w:val="003352B2"/>
    <w:rsid w:val="003367A6"/>
    <w:rsid w:val="00340683"/>
    <w:rsid w:val="00340F0A"/>
    <w:rsid w:val="003435ED"/>
    <w:rsid w:val="003512A6"/>
    <w:rsid w:val="00352A28"/>
    <w:rsid w:val="003554BB"/>
    <w:rsid w:val="00355BF6"/>
    <w:rsid w:val="00361030"/>
    <w:rsid w:val="003619BE"/>
    <w:rsid w:val="00361C36"/>
    <w:rsid w:val="00361D99"/>
    <w:rsid w:val="00363079"/>
    <w:rsid w:val="0037005C"/>
    <w:rsid w:val="0037092C"/>
    <w:rsid w:val="00372639"/>
    <w:rsid w:val="00374ED3"/>
    <w:rsid w:val="003769C3"/>
    <w:rsid w:val="003813EA"/>
    <w:rsid w:val="00381801"/>
    <w:rsid w:val="00382720"/>
    <w:rsid w:val="00383FCD"/>
    <w:rsid w:val="00384EE1"/>
    <w:rsid w:val="00390090"/>
    <w:rsid w:val="00390812"/>
    <w:rsid w:val="0039125C"/>
    <w:rsid w:val="003939E7"/>
    <w:rsid w:val="00393E89"/>
    <w:rsid w:val="00396781"/>
    <w:rsid w:val="003976A7"/>
    <w:rsid w:val="003A241F"/>
    <w:rsid w:val="003A3487"/>
    <w:rsid w:val="003A34F2"/>
    <w:rsid w:val="003A4B2C"/>
    <w:rsid w:val="003A560D"/>
    <w:rsid w:val="003A682C"/>
    <w:rsid w:val="003A7CDC"/>
    <w:rsid w:val="003B025B"/>
    <w:rsid w:val="003B1DBC"/>
    <w:rsid w:val="003B2D57"/>
    <w:rsid w:val="003B4C61"/>
    <w:rsid w:val="003B581B"/>
    <w:rsid w:val="003B799F"/>
    <w:rsid w:val="003C0731"/>
    <w:rsid w:val="003D196B"/>
    <w:rsid w:val="003D3842"/>
    <w:rsid w:val="003D3CDC"/>
    <w:rsid w:val="003D44BD"/>
    <w:rsid w:val="003D48A5"/>
    <w:rsid w:val="003D6944"/>
    <w:rsid w:val="003D6E44"/>
    <w:rsid w:val="003E0F3F"/>
    <w:rsid w:val="003E12C4"/>
    <w:rsid w:val="003E2DCE"/>
    <w:rsid w:val="003E31DD"/>
    <w:rsid w:val="003E38C6"/>
    <w:rsid w:val="003E421A"/>
    <w:rsid w:val="003E46DE"/>
    <w:rsid w:val="003E7AE1"/>
    <w:rsid w:val="003F03B4"/>
    <w:rsid w:val="003F325C"/>
    <w:rsid w:val="003F354D"/>
    <w:rsid w:val="003F40F1"/>
    <w:rsid w:val="003F4378"/>
    <w:rsid w:val="003F43E9"/>
    <w:rsid w:val="003F645D"/>
    <w:rsid w:val="003F6F29"/>
    <w:rsid w:val="00402131"/>
    <w:rsid w:val="00404CA1"/>
    <w:rsid w:val="00405112"/>
    <w:rsid w:val="00405FFD"/>
    <w:rsid w:val="004121BA"/>
    <w:rsid w:val="00414531"/>
    <w:rsid w:val="00416046"/>
    <w:rsid w:val="004162EC"/>
    <w:rsid w:val="00417172"/>
    <w:rsid w:val="0041763C"/>
    <w:rsid w:val="00417655"/>
    <w:rsid w:val="004177A5"/>
    <w:rsid w:val="00421260"/>
    <w:rsid w:val="00422B21"/>
    <w:rsid w:val="00422D98"/>
    <w:rsid w:val="004252EF"/>
    <w:rsid w:val="00430B3E"/>
    <w:rsid w:val="00431CED"/>
    <w:rsid w:val="004332FE"/>
    <w:rsid w:val="004348EE"/>
    <w:rsid w:val="004357D3"/>
    <w:rsid w:val="00435AD6"/>
    <w:rsid w:val="00435D67"/>
    <w:rsid w:val="00440097"/>
    <w:rsid w:val="004409A8"/>
    <w:rsid w:val="00440A2D"/>
    <w:rsid w:val="004437F0"/>
    <w:rsid w:val="0044387E"/>
    <w:rsid w:val="00444DAD"/>
    <w:rsid w:val="00444DBE"/>
    <w:rsid w:val="0044586F"/>
    <w:rsid w:val="00447F71"/>
    <w:rsid w:val="004514EF"/>
    <w:rsid w:val="00452259"/>
    <w:rsid w:val="004525DC"/>
    <w:rsid w:val="004538EE"/>
    <w:rsid w:val="00454282"/>
    <w:rsid w:val="00455A53"/>
    <w:rsid w:val="00457154"/>
    <w:rsid w:val="00457FAC"/>
    <w:rsid w:val="00462F50"/>
    <w:rsid w:val="00463A02"/>
    <w:rsid w:val="00463D6E"/>
    <w:rsid w:val="00464AF5"/>
    <w:rsid w:val="0046601F"/>
    <w:rsid w:val="0046616F"/>
    <w:rsid w:val="004662B5"/>
    <w:rsid w:val="00467623"/>
    <w:rsid w:val="00467873"/>
    <w:rsid w:val="004707C5"/>
    <w:rsid w:val="00471468"/>
    <w:rsid w:val="00473250"/>
    <w:rsid w:val="00473818"/>
    <w:rsid w:val="00474D80"/>
    <w:rsid w:val="00475299"/>
    <w:rsid w:val="004809C4"/>
    <w:rsid w:val="004826B8"/>
    <w:rsid w:val="00483A9F"/>
    <w:rsid w:val="00485388"/>
    <w:rsid w:val="00487380"/>
    <w:rsid w:val="00487428"/>
    <w:rsid w:val="004878BA"/>
    <w:rsid w:val="00490C7F"/>
    <w:rsid w:val="0049138E"/>
    <w:rsid w:val="004913F4"/>
    <w:rsid w:val="004915AB"/>
    <w:rsid w:val="00492C5E"/>
    <w:rsid w:val="00492E01"/>
    <w:rsid w:val="004940FA"/>
    <w:rsid w:val="0049603A"/>
    <w:rsid w:val="00496703"/>
    <w:rsid w:val="00497DB5"/>
    <w:rsid w:val="004A0017"/>
    <w:rsid w:val="004A0A9D"/>
    <w:rsid w:val="004A1D78"/>
    <w:rsid w:val="004A2252"/>
    <w:rsid w:val="004A6FF1"/>
    <w:rsid w:val="004A7996"/>
    <w:rsid w:val="004A7B70"/>
    <w:rsid w:val="004B04EB"/>
    <w:rsid w:val="004B08C9"/>
    <w:rsid w:val="004B0A32"/>
    <w:rsid w:val="004B0E3E"/>
    <w:rsid w:val="004B16BF"/>
    <w:rsid w:val="004B2961"/>
    <w:rsid w:val="004B3D85"/>
    <w:rsid w:val="004B48BB"/>
    <w:rsid w:val="004B5784"/>
    <w:rsid w:val="004C0D15"/>
    <w:rsid w:val="004C48B9"/>
    <w:rsid w:val="004C5EFD"/>
    <w:rsid w:val="004D05FF"/>
    <w:rsid w:val="004D0839"/>
    <w:rsid w:val="004D2441"/>
    <w:rsid w:val="004D25F9"/>
    <w:rsid w:val="004D3726"/>
    <w:rsid w:val="004D3D1F"/>
    <w:rsid w:val="004D5F97"/>
    <w:rsid w:val="004D6089"/>
    <w:rsid w:val="004D7FC3"/>
    <w:rsid w:val="004E1115"/>
    <w:rsid w:val="004E3CD9"/>
    <w:rsid w:val="004E4E80"/>
    <w:rsid w:val="004E5602"/>
    <w:rsid w:val="004E68AB"/>
    <w:rsid w:val="004E736E"/>
    <w:rsid w:val="004F1B4F"/>
    <w:rsid w:val="004F1D35"/>
    <w:rsid w:val="004F2BDA"/>
    <w:rsid w:val="004F32B1"/>
    <w:rsid w:val="004F3D5F"/>
    <w:rsid w:val="004F3E43"/>
    <w:rsid w:val="004F3E57"/>
    <w:rsid w:val="004F4A26"/>
    <w:rsid w:val="004F4E08"/>
    <w:rsid w:val="004F6273"/>
    <w:rsid w:val="005012A2"/>
    <w:rsid w:val="005012F2"/>
    <w:rsid w:val="00501A76"/>
    <w:rsid w:val="005027D5"/>
    <w:rsid w:val="00503738"/>
    <w:rsid w:val="00503AEB"/>
    <w:rsid w:val="005100E1"/>
    <w:rsid w:val="00510C3A"/>
    <w:rsid w:val="00510E64"/>
    <w:rsid w:val="00511757"/>
    <w:rsid w:val="00512981"/>
    <w:rsid w:val="00514A20"/>
    <w:rsid w:val="005150B6"/>
    <w:rsid w:val="005167BB"/>
    <w:rsid w:val="00517124"/>
    <w:rsid w:val="0051769F"/>
    <w:rsid w:val="00521C18"/>
    <w:rsid w:val="005227C2"/>
    <w:rsid w:val="00525DB7"/>
    <w:rsid w:val="00526B17"/>
    <w:rsid w:val="00531EEB"/>
    <w:rsid w:val="00532E99"/>
    <w:rsid w:val="00533856"/>
    <w:rsid w:val="00535495"/>
    <w:rsid w:val="00535F53"/>
    <w:rsid w:val="00537557"/>
    <w:rsid w:val="00537812"/>
    <w:rsid w:val="00537BD4"/>
    <w:rsid w:val="00541DA9"/>
    <w:rsid w:val="00545574"/>
    <w:rsid w:val="00546E03"/>
    <w:rsid w:val="0054795C"/>
    <w:rsid w:val="00547E43"/>
    <w:rsid w:val="00547E7E"/>
    <w:rsid w:val="00552D9E"/>
    <w:rsid w:val="00553614"/>
    <w:rsid w:val="00554C23"/>
    <w:rsid w:val="00554FA3"/>
    <w:rsid w:val="00555E61"/>
    <w:rsid w:val="005619E6"/>
    <w:rsid w:val="0056348F"/>
    <w:rsid w:val="00564816"/>
    <w:rsid w:val="00566274"/>
    <w:rsid w:val="00566739"/>
    <w:rsid w:val="0056705F"/>
    <w:rsid w:val="00572A91"/>
    <w:rsid w:val="005733D3"/>
    <w:rsid w:val="00574E49"/>
    <w:rsid w:val="00576757"/>
    <w:rsid w:val="00576B52"/>
    <w:rsid w:val="00576F97"/>
    <w:rsid w:val="005778A5"/>
    <w:rsid w:val="00577CD1"/>
    <w:rsid w:val="005816C0"/>
    <w:rsid w:val="005819BA"/>
    <w:rsid w:val="005837B9"/>
    <w:rsid w:val="005841F6"/>
    <w:rsid w:val="0058461C"/>
    <w:rsid w:val="00584D08"/>
    <w:rsid w:val="00587EA8"/>
    <w:rsid w:val="005915A0"/>
    <w:rsid w:val="005927CE"/>
    <w:rsid w:val="00593AB7"/>
    <w:rsid w:val="005A01ED"/>
    <w:rsid w:val="005A08DD"/>
    <w:rsid w:val="005A0BB3"/>
    <w:rsid w:val="005A2E8D"/>
    <w:rsid w:val="005A3689"/>
    <w:rsid w:val="005A3B50"/>
    <w:rsid w:val="005A3C53"/>
    <w:rsid w:val="005A3C80"/>
    <w:rsid w:val="005A71A5"/>
    <w:rsid w:val="005A7C3A"/>
    <w:rsid w:val="005A7ECE"/>
    <w:rsid w:val="005B0FAA"/>
    <w:rsid w:val="005B3E32"/>
    <w:rsid w:val="005B4139"/>
    <w:rsid w:val="005B5F61"/>
    <w:rsid w:val="005C2414"/>
    <w:rsid w:val="005C27B7"/>
    <w:rsid w:val="005C4014"/>
    <w:rsid w:val="005C5D2C"/>
    <w:rsid w:val="005C680B"/>
    <w:rsid w:val="005D0ED5"/>
    <w:rsid w:val="005D1411"/>
    <w:rsid w:val="005D1D63"/>
    <w:rsid w:val="005D24E3"/>
    <w:rsid w:val="005D35FA"/>
    <w:rsid w:val="005D3778"/>
    <w:rsid w:val="005D4BBA"/>
    <w:rsid w:val="005D75D7"/>
    <w:rsid w:val="005D7BE3"/>
    <w:rsid w:val="005E489C"/>
    <w:rsid w:val="005E7EF6"/>
    <w:rsid w:val="005F24CF"/>
    <w:rsid w:val="005F32F8"/>
    <w:rsid w:val="005F3AEF"/>
    <w:rsid w:val="005F60CA"/>
    <w:rsid w:val="00602C17"/>
    <w:rsid w:val="00604EC6"/>
    <w:rsid w:val="006075A0"/>
    <w:rsid w:val="0061040C"/>
    <w:rsid w:val="006123EA"/>
    <w:rsid w:val="00612DE7"/>
    <w:rsid w:val="00614BC4"/>
    <w:rsid w:val="00616661"/>
    <w:rsid w:val="006174B9"/>
    <w:rsid w:val="00622934"/>
    <w:rsid w:val="00622EE2"/>
    <w:rsid w:val="00624BF9"/>
    <w:rsid w:val="0062500C"/>
    <w:rsid w:val="00625014"/>
    <w:rsid w:val="006266B9"/>
    <w:rsid w:val="006273DC"/>
    <w:rsid w:val="00627BC8"/>
    <w:rsid w:val="00630471"/>
    <w:rsid w:val="00631320"/>
    <w:rsid w:val="006349AD"/>
    <w:rsid w:val="0063560E"/>
    <w:rsid w:val="00635DF8"/>
    <w:rsid w:val="00636E88"/>
    <w:rsid w:val="00636F1D"/>
    <w:rsid w:val="006404AF"/>
    <w:rsid w:val="00640750"/>
    <w:rsid w:val="00641CF6"/>
    <w:rsid w:val="006420EF"/>
    <w:rsid w:val="00642BD1"/>
    <w:rsid w:val="00643CEE"/>
    <w:rsid w:val="0065014C"/>
    <w:rsid w:val="00650657"/>
    <w:rsid w:val="00652043"/>
    <w:rsid w:val="0065333F"/>
    <w:rsid w:val="0065352F"/>
    <w:rsid w:val="0065440E"/>
    <w:rsid w:val="00654ACA"/>
    <w:rsid w:val="00654EC4"/>
    <w:rsid w:val="006554F9"/>
    <w:rsid w:val="00656309"/>
    <w:rsid w:val="00657393"/>
    <w:rsid w:val="00657906"/>
    <w:rsid w:val="00657E2D"/>
    <w:rsid w:val="00661AEF"/>
    <w:rsid w:val="006634AE"/>
    <w:rsid w:val="00663F5E"/>
    <w:rsid w:val="00663FE0"/>
    <w:rsid w:val="006644D6"/>
    <w:rsid w:val="00667358"/>
    <w:rsid w:val="00671E47"/>
    <w:rsid w:val="0067252C"/>
    <w:rsid w:val="00673B4C"/>
    <w:rsid w:val="006749DF"/>
    <w:rsid w:val="00674CEA"/>
    <w:rsid w:val="0068035C"/>
    <w:rsid w:val="00682CA6"/>
    <w:rsid w:val="00683122"/>
    <w:rsid w:val="0068506D"/>
    <w:rsid w:val="00685AEB"/>
    <w:rsid w:val="00686054"/>
    <w:rsid w:val="0069106C"/>
    <w:rsid w:val="00692356"/>
    <w:rsid w:val="0069321B"/>
    <w:rsid w:val="006947EE"/>
    <w:rsid w:val="00694B8D"/>
    <w:rsid w:val="00695AF9"/>
    <w:rsid w:val="00695D79"/>
    <w:rsid w:val="006A0B2F"/>
    <w:rsid w:val="006A22E6"/>
    <w:rsid w:val="006A376B"/>
    <w:rsid w:val="006A5233"/>
    <w:rsid w:val="006A5686"/>
    <w:rsid w:val="006B06BA"/>
    <w:rsid w:val="006B0AA1"/>
    <w:rsid w:val="006B1B89"/>
    <w:rsid w:val="006B1D31"/>
    <w:rsid w:val="006B1DB3"/>
    <w:rsid w:val="006B3188"/>
    <w:rsid w:val="006B3E75"/>
    <w:rsid w:val="006B7010"/>
    <w:rsid w:val="006B7056"/>
    <w:rsid w:val="006B7FFB"/>
    <w:rsid w:val="006C165D"/>
    <w:rsid w:val="006C2CE7"/>
    <w:rsid w:val="006C5022"/>
    <w:rsid w:val="006C5BBD"/>
    <w:rsid w:val="006C6742"/>
    <w:rsid w:val="006D033E"/>
    <w:rsid w:val="006D0500"/>
    <w:rsid w:val="006D132D"/>
    <w:rsid w:val="006D1AE6"/>
    <w:rsid w:val="006D2145"/>
    <w:rsid w:val="006D38D6"/>
    <w:rsid w:val="006D586C"/>
    <w:rsid w:val="006D7478"/>
    <w:rsid w:val="006E1135"/>
    <w:rsid w:val="006E1A43"/>
    <w:rsid w:val="006E28F3"/>
    <w:rsid w:val="006E2DAD"/>
    <w:rsid w:val="006E55F2"/>
    <w:rsid w:val="006E6182"/>
    <w:rsid w:val="006E747B"/>
    <w:rsid w:val="006F14A9"/>
    <w:rsid w:val="006F1664"/>
    <w:rsid w:val="006F168B"/>
    <w:rsid w:val="006F19CB"/>
    <w:rsid w:val="007009E2"/>
    <w:rsid w:val="00701C31"/>
    <w:rsid w:val="007058C1"/>
    <w:rsid w:val="00705916"/>
    <w:rsid w:val="00707F5D"/>
    <w:rsid w:val="0071034F"/>
    <w:rsid w:val="00710866"/>
    <w:rsid w:val="0071185D"/>
    <w:rsid w:val="00712170"/>
    <w:rsid w:val="0071313B"/>
    <w:rsid w:val="007134FB"/>
    <w:rsid w:val="0071369D"/>
    <w:rsid w:val="00714E60"/>
    <w:rsid w:val="007159F6"/>
    <w:rsid w:val="00717F7A"/>
    <w:rsid w:val="00723571"/>
    <w:rsid w:val="00723D45"/>
    <w:rsid w:val="007242EC"/>
    <w:rsid w:val="00724DB4"/>
    <w:rsid w:val="007274F1"/>
    <w:rsid w:val="00730DED"/>
    <w:rsid w:val="00730FFD"/>
    <w:rsid w:val="007333F5"/>
    <w:rsid w:val="00733F86"/>
    <w:rsid w:val="0073590B"/>
    <w:rsid w:val="00735C63"/>
    <w:rsid w:val="00737311"/>
    <w:rsid w:val="00742596"/>
    <w:rsid w:val="0074354E"/>
    <w:rsid w:val="007441F5"/>
    <w:rsid w:val="00745E4F"/>
    <w:rsid w:val="00746BDD"/>
    <w:rsid w:val="0075098F"/>
    <w:rsid w:val="007513BB"/>
    <w:rsid w:val="00752BBE"/>
    <w:rsid w:val="00753D4D"/>
    <w:rsid w:val="007551EA"/>
    <w:rsid w:val="007569A7"/>
    <w:rsid w:val="00757D6D"/>
    <w:rsid w:val="00761232"/>
    <w:rsid w:val="00761C8B"/>
    <w:rsid w:val="00763180"/>
    <w:rsid w:val="00763A3A"/>
    <w:rsid w:val="00765AF4"/>
    <w:rsid w:val="00767EA3"/>
    <w:rsid w:val="00771B91"/>
    <w:rsid w:val="00771E59"/>
    <w:rsid w:val="00774C63"/>
    <w:rsid w:val="0077673F"/>
    <w:rsid w:val="007778EE"/>
    <w:rsid w:val="007807CD"/>
    <w:rsid w:val="00781415"/>
    <w:rsid w:val="00782B4C"/>
    <w:rsid w:val="00785538"/>
    <w:rsid w:val="007859F1"/>
    <w:rsid w:val="007956B2"/>
    <w:rsid w:val="00795D5E"/>
    <w:rsid w:val="007962BD"/>
    <w:rsid w:val="00797E71"/>
    <w:rsid w:val="007A06B8"/>
    <w:rsid w:val="007A2662"/>
    <w:rsid w:val="007A2B73"/>
    <w:rsid w:val="007A6A75"/>
    <w:rsid w:val="007A6DC2"/>
    <w:rsid w:val="007B09C9"/>
    <w:rsid w:val="007B0CB0"/>
    <w:rsid w:val="007B1470"/>
    <w:rsid w:val="007B2A3E"/>
    <w:rsid w:val="007B4CA9"/>
    <w:rsid w:val="007B7479"/>
    <w:rsid w:val="007C0105"/>
    <w:rsid w:val="007C18AC"/>
    <w:rsid w:val="007C1F07"/>
    <w:rsid w:val="007C7570"/>
    <w:rsid w:val="007C7DBC"/>
    <w:rsid w:val="007D0D0F"/>
    <w:rsid w:val="007D4679"/>
    <w:rsid w:val="007D55F6"/>
    <w:rsid w:val="007D56CF"/>
    <w:rsid w:val="007D58BA"/>
    <w:rsid w:val="007D6240"/>
    <w:rsid w:val="007E08C1"/>
    <w:rsid w:val="007E1DF4"/>
    <w:rsid w:val="007E64FA"/>
    <w:rsid w:val="007F03A9"/>
    <w:rsid w:val="007F317D"/>
    <w:rsid w:val="007F4475"/>
    <w:rsid w:val="00801394"/>
    <w:rsid w:val="008019BA"/>
    <w:rsid w:val="00802464"/>
    <w:rsid w:val="00804006"/>
    <w:rsid w:val="008043C8"/>
    <w:rsid w:val="0080519C"/>
    <w:rsid w:val="0080554B"/>
    <w:rsid w:val="008113F0"/>
    <w:rsid w:val="00814696"/>
    <w:rsid w:val="008211FF"/>
    <w:rsid w:val="008228EA"/>
    <w:rsid w:val="008245F8"/>
    <w:rsid w:val="008312E0"/>
    <w:rsid w:val="00831A03"/>
    <w:rsid w:val="00832B39"/>
    <w:rsid w:val="0083377D"/>
    <w:rsid w:val="00833EAC"/>
    <w:rsid w:val="00835C7B"/>
    <w:rsid w:val="00842117"/>
    <w:rsid w:val="00842895"/>
    <w:rsid w:val="00842FA6"/>
    <w:rsid w:val="008442B7"/>
    <w:rsid w:val="00844FFE"/>
    <w:rsid w:val="00845749"/>
    <w:rsid w:val="00845D0E"/>
    <w:rsid w:val="00845D54"/>
    <w:rsid w:val="00846384"/>
    <w:rsid w:val="00846509"/>
    <w:rsid w:val="008507DD"/>
    <w:rsid w:val="008516D4"/>
    <w:rsid w:val="0085532D"/>
    <w:rsid w:val="00855B3C"/>
    <w:rsid w:val="00855C88"/>
    <w:rsid w:val="0085659B"/>
    <w:rsid w:val="008567A5"/>
    <w:rsid w:val="00856A65"/>
    <w:rsid w:val="00857FD1"/>
    <w:rsid w:val="00860118"/>
    <w:rsid w:val="008610B7"/>
    <w:rsid w:val="00861AFB"/>
    <w:rsid w:val="00862190"/>
    <w:rsid w:val="00863604"/>
    <w:rsid w:val="00864ED8"/>
    <w:rsid w:val="00865978"/>
    <w:rsid w:val="00866C64"/>
    <w:rsid w:val="008678E2"/>
    <w:rsid w:val="00870982"/>
    <w:rsid w:val="00870B3A"/>
    <w:rsid w:val="00871E0A"/>
    <w:rsid w:val="00876CF7"/>
    <w:rsid w:val="008771C5"/>
    <w:rsid w:val="008809E2"/>
    <w:rsid w:val="00886716"/>
    <w:rsid w:val="008902B4"/>
    <w:rsid w:val="0089051B"/>
    <w:rsid w:val="00890585"/>
    <w:rsid w:val="00891EBF"/>
    <w:rsid w:val="008923BB"/>
    <w:rsid w:val="008928AA"/>
    <w:rsid w:val="00895260"/>
    <w:rsid w:val="00895CC1"/>
    <w:rsid w:val="008967A2"/>
    <w:rsid w:val="008A0553"/>
    <w:rsid w:val="008A0D9A"/>
    <w:rsid w:val="008A1284"/>
    <w:rsid w:val="008A258E"/>
    <w:rsid w:val="008A2AD7"/>
    <w:rsid w:val="008A35D1"/>
    <w:rsid w:val="008A3A34"/>
    <w:rsid w:val="008A4E1F"/>
    <w:rsid w:val="008A6452"/>
    <w:rsid w:val="008B039E"/>
    <w:rsid w:val="008B2815"/>
    <w:rsid w:val="008B2F35"/>
    <w:rsid w:val="008B6DA3"/>
    <w:rsid w:val="008B7B1F"/>
    <w:rsid w:val="008C0E09"/>
    <w:rsid w:val="008C1179"/>
    <w:rsid w:val="008C21BC"/>
    <w:rsid w:val="008C66AF"/>
    <w:rsid w:val="008C7C61"/>
    <w:rsid w:val="008C7CDC"/>
    <w:rsid w:val="008D0FD4"/>
    <w:rsid w:val="008D1F91"/>
    <w:rsid w:val="008D1FBC"/>
    <w:rsid w:val="008D22D0"/>
    <w:rsid w:val="008D26D5"/>
    <w:rsid w:val="008D7F2D"/>
    <w:rsid w:val="008E4C03"/>
    <w:rsid w:val="008E5573"/>
    <w:rsid w:val="008E6075"/>
    <w:rsid w:val="008E7854"/>
    <w:rsid w:val="008E7CFE"/>
    <w:rsid w:val="008F4D68"/>
    <w:rsid w:val="008F512F"/>
    <w:rsid w:val="008F5793"/>
    <w:rsid w:val="008F6621"/>
    <w:rsid w:val="008F7A8A"/>
    <w:rsid w:val="00901094"/>
    <w:rsid w:val="009013CE"/>
    <w:rsid w:val="0090187E"/>
    <w:rsid w:val="00901B88"/>
    <w:rsid w:val="00902CB8"/>
    <w:rsid w:val="00903195"/>
    <w:rsid w:val="00903708"/>
    <w:rsid w:val="00903C0B"/>
    <w:rsid w:val="00905AD1"/>
    <w:rsid w:val="00906535"/>
    <w:rsid w:val="0091198A"/>
    <w:rsid w:val="00913000"/>
    <w:rsid w:val="009137A3"/>
    <w:rsid w:val="00913C99"/>
    <w:rsid w:val="00914714"/>
    <w:rsid w:val="00914F8F"/>
    <w:rsid w:val="009155DD"/>
    <w:rsid w:val="00917F9C"/>
    <w:rsid w:val="0092155B"/>
    <w:rsid w:val="009224BB"/>
    <w:rsid w:val="00922F06"/>
    <w:rsid w:val="00923604"/>
    <w:rsid w:val="00924678"/>
    <w:rsid w:val="009269BA"/>
    <w:rsid w:val="00926AB0"/>
    <w:rsid w:val="0092794D"/>
    <w:rsid w:val="00931DB5"/>
    <w:rsid w:val="009364D1"/>
    <w:rsid w:val="0093736B"/>
    <w:rsid w:val="00940629"/>
    <w:rsid w:val="009422A2"/>
    <w:rsid w:val="009435DF"/>
    <w:rsid w:val="0094444D"/>
    <w:rsid w:val="00946273"/>
    <w:rsid w:val="00946978"/>
    <w:rsid w:val="00952DB1"/>
    <w:rsid w:val="00956238"/>
    <w:rsid w:val="009614ED"/>
    <w:rsid w:val="00961E18"/>
    <w:rsid w:val="00962DC5"/>
    <w:rsid w:val="0096316C"/>
    <w:rsid w:val="00965B52"/>
    <w:rsid w:val="00967CCE"/>
    <w:rsid w:val="00970DFE"/>
    <w:rsid w:val="009714BD"/>
    <w:rsid w:val="009718A1"/>
    <w:rsid w:val="00971F28"/>
    <w:rsid w:val="009736B2"/>
    <w:rsid w:val="009740EF"/>
    <w:rsid w:val="00975A96"/>
    <w:rsid w:val="00975AA1"/>
    <w:rsid w:val="00976869"/>
    <w:rsid w:val="00976EA8"/>
    <w:rsid w:val="00976EDF"/>
    <w:rsid w:val="0097780E"/>
    <w:rsid w:val="00980220"/>
    <w:rsid w:val="009803BB"/>
    <w:rsid w:val="00981ABB"/>
    <w:rsid w:val="00982B29"/>
    <w:rsid w:val="00983394"/>
    <w:rsid w:val="00984121"/>
    <w:rsid w:val="009923B4"/>
    <w:rsid w:val="009924F3"/>
    <w:rsid w:val="00992AD5"/>
    <w:rsid w:val="00996625"/>
    <w:rsid w:val="00997DD6"/>
    <w:rsid w:val="009A0AA2"/>
    <w:rsid w:val="009A44AF"/>
    <w:rsid w:val="009A46BC"/>
    <w:rsid w:val="009A50A0"/>
    <w:rsid w:val="009A551A"/>
    <w:rsid w:val="009A7746"/>
    <w:rsid w:val="009B04FB"/>
    <w:rsid w:val="009B1865"/>
    <w:rsid w:val="009B5F3B"/>
    <w:rsid w:val="009B6634"/>
    <w:rsid w:val="009B6CF2"/>
    <w:rsid w:val="009C0603"/>
    <w:rsid w:val="009C1703"/>
    <w:rsid w:val="009C42DE"/>
    <w:rsid w:val="009C4E29"/>
    <w:rsid w:val="009C592D"/>
    <w:rsid w:val="009C7A11"/>
    <w:rsid w:val="009D0403"/>
    <w:rsid w:val="009D34EC"/>
    <w:rsid w:val="009D3FE9"/>
    <w:rsid w:val="009D7DEF"/>
    <w:rsid w:val="009E28E8"/>
    <w:rsid w:val="009E56A5"/>
    <w:rsid w:val="009E7CD4"/>
    <w:rsid w:val="009F1643"/>
    <w:rsid w:val="009F3302"/>
    <w:rsid w:val="009F3FA2"/>
    <w:rsid w:val="009F476B"/>
    <w:rsid w:val="009F50A9"/>
    <w:rsid w:val="009F5BDE"/>
    <w:rsid w:val="009F7CB8"/>
    <w:rsid w:val="00A02473"/>
    <w:rsid w:val="00A036F6"/>
    <w:rsid w:val="00A043F7"/>
    <w:rsid w:val="00A051DD"/>
    <w:rsid w:val="00A0715D"/>
    <w:rsid w:val="00A07950"/>
    <w:rsid w:val="00A079C4"/>
    <w:rsid w:val="00A125AE"/>
    <w:rsid w:val="00A12958"/>
    <w:rsid w:val="00A12F65"/>
    <w:rsid w:val="00A1302C"/>
    <w:rsid w:val="00A132A4"/>
    <w:rsid w:val="00A14C26"/>
    <w:rsid w:val="00A16632"/>
    <w:rsid w:val="00A20E89"/>
    <w:rsid w:val="00A21479"/>
    <w:rsid w:val="00A24A44"/>
    <w:rsid w:val="00A259F3"/>
    <w:rsid w:val="00A301CF"/>
    <w:rsid w:val="00A31883"/>
    <w:rsid w:val="00A3423A"/>
    <w:rsid w:val="00A34DA4"/>
    <w:rsid w:val="00A36403"/>
    <w:rsid w:val="00A401B5"/>
    <w:rsid w:val="00A40733"/>
    <w:rsid w:val="00A41287"/>
    <w:rsid w:val="00A41384"/>
    <w:rsid w:val="00A41DAE"/>
    <w:rsid w:val="00A45567"/>
    <w:rsid w:val="00A46046"/>
    <w:rsid w:val="00A47449"/>
    <w:rsid w:val="00A504E1"/>
    <w:rsid w:val="00A50770"/>
    <w:rsid w:val="00A51AAA"/>
    <w:rsid w:val="00A53351"/>
    <w:rsid w:val="00A53383"/>
    <w:rsid w:val="00A53A51"/>
    <w:rsid w:val="00A56CAB"/>
    <w:rsid w:val="00A62B75"/>
    <w:rsid w:val="00A63807"/>
    <w:rsid w:val="00A645EA"/>
    <w:rsid w:val="00A659D8"/>
    <w:rsid w:val="00A73EF8"/>
    <w:rsid w:val="00A74A8D"/>
    <w:rsid w:val="00A77041"/>
    <w:rsid w:val="00A77E1C"/>
    <w:rsid w:val="00A81268"/>
    <w:rsid w:val="00A847B7"/>
    <w:rsid w:val="00A84A50"/>
    <w:rsid w:val="00A92F43"/>
    <w:rsid w:val="00A94497"/>
    <w:rsid w:val="00A9648D"/>
    <w:rsid w:val="00A96586"/>
    <w:rsid w:val="00A97C3A"/>
    <w:rsid w:val="00AA2418"/>
    <w:rsid w:val="00AA3B48"/>
    <w:rsid w:val="00AA4181"/>
    <w:rsid w:val="00AA5244"/>
    <w:rsid w:val="00AA532A"/>
    <w:rsid w:val="00AA663D"/>
    <w:rsid w:val="00AA715D"/>
    <w:rsid w:val="00AB177B"/>
    <w:rsid w:val="00AB4129"/>
    <w:rsid w:val="00AB6918"/>
    <w:rsid w:val="00AB7DDA"/>
    <w:rsid w:val="00AC2308"/>
    <w:rsid w:val="00AC3643"/>
    <w:rsid w:val="00AC4671"/>
    <w:rsid w:val="00AC5496"/>
    <w:rsid w:val="00AC73A2"/>
    <w:rsid w:val="00AC7ECD"/>
    <w:rsid w:val="00AD421B"/>
    <w:rsid w:val="00AD4564"/>
    <w:rsid w:val="00AD46C2"/>
    <w:rsid w:val="00AD5376"/>
    <w:rsid w:val="00AE1E5A"/>
    <w:rsid w:val="00AE33B1"/>
    <w:rsid w:val="00AE3991"/>
    <w:rsid w:val="00AE3D53"/>
    <w:rsid w:val="00AE517A"/>
    <w:rsid w:val="00AE5E71"/>
    <w:rsid w:val="00AE6270"/>
    <w:rsid w:val="00AE6F04"/>
    <w:rsid w:val="00AE70AC"/>
    <w:rsid w:val="00AE73B4"/>
    <w:rsid w:val="00AF02AD"/>
    <w:rsid w:val="00AF455B"/>
    <w:rsid w:val="00AF50F2"/>
    <w:rsid w:val="00B02317"/>
    <w:rsid w:val="00B0240A"/>
    <w:rsid w:val="00B037EE"/>
    <w:rsid w:val="00B0399B"/>
    <w:rsid w:val="00B04714"/>
    <w:rsid w:val="00B06B6D"/>
    <w:rsid w:val="00B071F0"/>
    <w:rsid w:val="00B11BB9"/>
    <w:rsid w:val="00B133E0"/>
    <w:rsid w:val="00B1377F"/>
    <w:rsid w:val="00B15DCE"/>
    <w:rsid w:val="00B16A23"/>
    <w:rsid w:val="00B16A98"/>
    <w:rsid w:val="00B16C3B"/>
    <w:rsid w:val="00B16F75"/>
    <w:rsid w:val="00B17157"/>
    <w:rsid w:val="00B17969"/>
    <w:rsid w:val="00B2181C"/>
    <w:rsid w:val="00B234F5"/>
    <w:rsid w:val="00B247C1"/>
    <w:rsid w:val="00B2617C"/>
    <w:rsid w:val="00B26A8E"/>
    <w:rsid w:val="00B32483"/>
    <w:rsid w:val="00B33DE8"/>
    <w:rsid w:val="00B34440"/>
    <w:rsid w:val="00B4189B"/>
    <w:rsid w:val="00B4395A"/>
    <w:rsid w:val="00B44619"/>
    <w:rsid w:val="00B45DAC"/>
    <w:rsid w:val="00B47C56"/>
    <w:rsid w:val="00B51783"/>
    <w:rsid w:val="00B523FC"/>
    <w:rsid w:val="00B534B4"/>
    <w:rsid w:val="00B54B81"/>
    <w:rsid w:val="00B55120"/>
    <w:rsid w:val="00B56E8C"/>
    <w:rsid w:val="00B62300"/>
    <w:rsid w:val="00B62718"/>
    <w:rsid w:val="00B62D93"/>
    <w:rsid w:val="00B64C43"/>
    <w:rsid w:val="00B67BA2"/>
    <w:rsid w:val="00B7155B"/>
    <w:rsid w:val="00B7229D"/>
    <w:rsid w:val="00B72CC4"/>
    <w:rsid w:val="00B73AD7"/>
    <w:rsid w:val="00B740CF"/>
    <w:rsid w:val="00B74F76"/>
    <w:rsid w:val="00B76655"/>
    <w:rsid w:val="00B76FF4"/>
    <w:rsid w:val="00B774C7"/>
    <w:rsid w:val="00B779B9"/>
    <w:rsid w:val="00B77CDA"/>
    <w:rsid w:val="00B77EAF"/>
    <w:rsid w:val="00B801A2"/>
    <w:rsid w:val="00B81072"/>
    <w:rsid w:val="00B81C52"/>
    <w:rsid w:val="00B84B07"/>
    <w:rsid w:val="00B85010"/>
    <w:rsid w:val="00B86716"/>
    <w:rsid w:val="00B86CF5"/>
    <w:rsid w:val="00B90A42"/>
    <w:rsid w:val="00B91B2F"/>
    <w:rsid w:val="00B92CFE"/>
    <w:rsid w:val="00B94168"/>
    <w:rsid w:val="00B95F71"/>
    <w:rsid w:val="00B97BA2"/>
    <w:rsid w:val="00BA1E5C"/>
    <w:rsid w:val="00BA476D"/>
    <w:rsid w:val="00BA48E2"/>
    <w:rsid w:val="00BA5D80"/>
    <w:rsid w:val="00BA6527"/>
    <w:rsid w:val="00BB1B5A"/>
    <w:rsid w:val="00BB2365"/>
    <w:rsid w:val="00BB2AB2"/>
    <w:rsid w:val="00BB443C"/>
    <w:rsid w:val="00BB484C"/>
    <w:rsid w:val="00BB4CD7"/>
    <w:rsid w:val="00BB4DBA"/>
    <w:rsid w:val="00BB5932"/>
    <w:rsid w:val="00BC21BF"/>
    <w:rsid w:val="00BC2246"/>
    <w:rsid w:val="00BC2D29"/>
    <w:rsid w:val="00BC391E"/>
    <w:rsid w:val="00BC3BB1"/>
    <w:rsid w:val="00BC48A2"/>
    <w:rsid w:val="00BC5959"/>
    <w:rsid w:val="00BC63F2"/>
    <w:rsid w:val="00BC7692"/>
    <w:rsid w:val="00BD0CA6"/>
    <w:rsid w:val="00BD18AF"/>
    <w:rsid w:val="00BD405F"/>
    <w:rsid w:val="00BD51D0"/>
    <w:rsid w:val="00BD5DE3"/>
    <w:rsid w:val="00BD6533"/>
    <w:rsid w:val="00BD6A6B"/>
    <w:rsid w:val="00BE08CB"/>
    <w:rsid w:val="00BE1612"/>
    <w:rsid w:val="00BE22E8"/>
    <w:rsid w:val="00BE2CD4"/>
    <w:rsid w:val="00BE53A6"/>
    <w:rsid w:val="00BE5473"/>
    <w:rsid w:val="00BE597A"/>
    <w:rsid w:val="00BE5AA9"/>
    <w:rsid w:val="00BE70D6"/>
    <w:rsid w:val="00BF3081"/>
    <w:rsid w:val="00BF3C08"/>
    <w:rsid w:val="00BF4012"/>
    <w:rsid w:val="00BF4C6A"/>
    <w:rsid w:val="00BF5168"/>
    <w:rsid w:val="00BF713A"/>
    <w:rsid w:val="00BF7872"/>
    <w:rsid w:val="00BF7B9F"/>
    <w:rsid w:val="00C00868"/>
    <w:rsid w:val="00C0417C"/>
    <w:rsid w:val="00C0492C"/>
    <w:rsid w:val="00C04C8A"/>
    <w:rsid w:val="00C05F42"/>
    <w:rsid w:val="00C06351"/>
    <w:rsid w:val="00C114F8"/>
    <w:rsid w:val="00C13A85"/>
    <w:rsid w:val="00C15365"/>
    <w:rsid w:val="00C15991"/>
    <w:rsid w:val="00C1632A"/>
    <w:rsid w:val="00C1684F"/>
    <w:rsid w:val="00C168D0"/>
    <w:rsid w:val="00C212D8"/>
    <w:rsid w:val="00C22EC0"/>
    <w:rsid w:val="00C22F84"/>
    <w:rsid w:val="00C23140"/>
    <w:rsid w:val="00C240B9"/>
    <w:rsid w:val="00C24329"/>
    <w:rsid w:val="00C260A2"/>
    <w:rsid w:val="00C273AD"/>
    <w:rsid w:val="00C27E83"/>
    <w:rsid w:val="00C312C1"/>
    <w:rsid w:val="00C32E77"/>
    <w:rsid w:val="00C3378D"/>
    <w:rsid w:val="00C33F03"/>
    <w:rsid w:val="00C34550"/>
    <w:rsid w:val="00C35585"/>
    <w:rsid w:val="00C3650D"/>
    <w:rsid w:val="00C40302"/>
    <w:rsid w:val="00C41668"/>
    <w:rsid w:val="00C4260C"/>
    <w:rsid w:val="00C43462"/>
    <w:rsid w:val="00C443A0"/>
    <w:rsid w:val="00C44D04"/>
    <w:rsid w:val="00C44F30"/>
    <w:rsid w:val="00C45B62"/>
    <w:rsid w:val="00C47356"/>
    <w:rsid w:val="00C47BD9"/>
    <w:rsid w:val="00C50079"/>
    <w:rsid w:val="00C51F60"/>
    <w:rsid w:val="00C5358D"/>
    <w:rsid w:val="00C54525"/>
    <w:rsid w:val="00C548C3"/>
    <w:rsid w:val="00C602F7"/>
    <w:rsid w:val="00C60936"/>
    <w:rsid w:val="00C64D14"/>
    <w:rsid w:val="00C667EA"/>
    <w:rsid w:val="00C6683A"/>
    <w:rsid w:val="00C66F4F"/>
    <w:rsid w:val="00C679DA"/>
    <w:rsid w:val="00C72073"/>
    <w:rsid w:val="00C72D01"/>
    <w:rsid w:val="00C75730"/>
    <w:rsid w:val="00C76439"/>
    <w:rsid w:val="00C769B9"/>
    <w:rsid w:val="00C8045A"/>
    <w:rsid w:val="00C80893"/>
    <w:rsid w:val="00C80F64"/>
    <w:rsid w:val="00C81204"/>
    <w:rsid w:val="00C82390"/>
    <w:rsid w:val="00C82B78"/>
    <w:rsid w:val="00C869DE"/>
    <w:rsid w:val="00C87770"/>
    <w:rsid w:val="00C90351"/>
    <w:rsid w:val="00C92F52"/>
    <w:rsid w:val="00C94CFD"/>
    <w:rsid w:val="00CA4613"/>
    <w:rsid w:val="00CA4F0E"/>
    <w:rsid w:val="00CA6EA9"/>
    <w:rsid w:val="00CB3D64"/>
    <w:rsid w:val="00CB3ECA"/>
    <w:rsid w:val="00CB54EA"/>
    <w:rsid w:val="00CB6DA0"/>
    <w:rsid w:val="00CC049B"/>
    <w:rsid w:val="00CC05A4"/>
    <w:rsid w:val="00CC0B96"/>
    <w:rsid w:val="00CC3E5E"/>
    <w:rsid w:val="00CC4BF5"/>
    <w:rsid w:val="00CC5526"/>
    <w:rsid w:val="00CC608F"/>
    <w:rsid w:val="00CC6377"/>
    <w:rsid w:val="00CC65AA"/>
    <w:rsid w:val="00CD00F1"/>
    <w:rsid w:val="00CD103E"/>
    <w:rsid w:val="00CD1EFD"/>
    <w:rsid w:val="00CD21A9"/>
    <w:rsid w:val="00CD225C"/>
    <w:rsid w:val="00CD30EB"/>
    <w:rsid w:val="00CD48BB"/>
    <w:rsid w:val="00CD5789"/>
    <w:rsid w:val="00CD5A6F"/>
    <w:rsid w:val="00CE0E2B"/>
    <w:rsid w:val="00CE1F7A"/>
    <w:rsid w:val="00CE32E3"/>
    <w:rsid w:val="00CE357C"/>
    <w:rsid w:val="00CE3A0E"/>
    <w:rsid w:val="00CE3B9F"/>
    <w:rsid w:val="00CE3E7D"/>
    <w:rsid w:val="00CE4D11"/>
    <w:rsid w:val="00CE527E"/>
    <w:rsid w:val="00CE5B4C"/>
    <w:rsid w:val="00CF095D"/>
    <w:rsid w:val="00CF1146"/>
    <w:rsid w:val="00CF13FA"/>
    <w:rsid w:val="00CF261C"/>
    <w:rsid w:val="00CF2A49"/>
    <w:rsid w:val="00CF3C11"/>
    <w:rsid w:val="00CF6313"/>
    <w:rsid w:val="00CF68AC"/>
    <w:rsid w:val="00D00782"/>
    <w:rsid w:val="00D01734"/>
    <w:rsid w:val="00D0421E"/>
    <w:rsid w:val="00D07A93"/>
    <w:rsid w:val="00D13E97"/>
    <w:rsid w:val="00D1437C"/>
    <w:rsid w:val="00D14D43"/>
    <w:rsid w:val="00D156A8"/>
    <w:rsid w:val="00D158DD"/>
    <w:rsid w:val="00D15D6A"/>
    <w:rsid w:val="00D20B3B"/>
    <w:rsid w:val="00D22053"/>
    <w:rsid w:val="00D220FD"/>
    <w:rsid w:val="00D237B0"/>
    <w:rsid w:val="00D23B56"/>
    <w:rsid w:val="00D2409F"/>
    <w:rsid w:val="00D32553"/>
    <w:rsid w:val="00D351E3"/>
    <w:rsid w:val="00D369AE"/>
    <w:rsid w:val="00D37E68"/>
    <w:rsid w:val="00D40DBB"/>
    <w:rsid w:val="00D43061"/>
    <w:rsid w:val="00D431A2"/>
    <w:rsid w:val="00D43320"/>
    <w:rsid w:val="00D4442D"/>
    <w:rsid w:val="00D44BB4"/>
    <w:rsid w:val="00D467F3"/>
    <w:rsid w:val="00D47930"/>
    <w:rsid w:val="00D47A2E"/>
    <w:rsid w:val="00D530A5"/>
    <w:rsid w:val="00D54408"/>
    <w:rsid w:val="00D55627"/>
    <w:rsid w:val="00D55B1C"/>
    <w:rsid w:val="00D601DF"/>
    <w:rsid w:val="00D60D76"/>
    <w:rsid w:val="00D61A57"/>
    <w:rsid w:val="00D62157"/>
    <w:rsid w:val="00D6234C"/>
    <w:rsid w:val="00D66EF4"/>
    <w:rsid w:val="00D67804"/>
    <w:rsid w:val="00D7248E"/>
    <w:rsid w:val="00D73886"/>
    <w:rsid w:val="00D73F9D"/>
    <w:rsid w:val="00D7480F"/>
    <w:rsid w:val="00D7605E"/>
    <w:rsid w:val="00D76C6F"/>
    <w:rsid w:val="00D808DB"/>
    <w:rsid w:val="00D833F0"/>
    <w:rsid w:val="00D83B4F"/>
    <w:rsid w:val="00D84001"/>
    <w:rsid w:val="00D84DD5"/>
    <w:rsid w:val="00D85E77"/>
    <w:rsid w:val="00D92C84"/>
    <w:rsid w:val="00D95514"/>
    <w:rsid w:val="00D956E1"/>
    <w:rsid w:val="00D97D35"/>
    <w:rsid w:val="00DA23EC"/>
    <w:rsid w:val="00DA27D3"/>
    <w:rsid w:val="00DA2BAA"/>
    <w:rsid w:val="00DA3AB3"/>
    <w:rsid w:val="00DA4E69"/>
    <w:rsid w:val="00DA61D3"/>
    <w:rsid w:val="00DA7C36"/>
    <w:rsid w:val="00DB0CD1"/>
    <w:rsid w:val="00DB1A2C"/>
    <w:rsid w:val="00DB5F28"/>
    <w:rsid w:val="00DC231F"/>
    <w:rsid w:val="00DC2E71"/>
    <w:rsid w:val="00DC3557"/>
    <w:rsid w:val="00DC3733"/>
    <w:rsid w:val="00DC4520"/>
    <w:rsid w:val="00DC48F5"/>
    <w:rsid w:val="00DC596C"/>
    <w:rsid w:val="00DC668B"/>
    <w:rsid w:val="00DC6B6D"/>
    <w:rsid w:val="00DC6E3B"/>
    <w:rsid w:val="00DD0EFA"/>
    <w:rsid w:val="00DD0F6F"/>
    <w:rsid w:val="00DD1E6B"/>
    <w:rsid w:val="00DD328C"/>
    <w:rsid w:val="00DD40CA"/>
    <w:rsid w:val="00DD4B08"/>
    <w:rsid w:val="00DE24B0"/>
    <w:rsid w:val="00DE2957"/>
    <w:rsid w:val="00DE3854"/>
    <w:rsid w:val="00DE42D3"/>
    <w:rsid w:val="00DE4E54"/>
    <w:rsid w:val="00DE6531"/>
    <w:rsid w:val="00DE6E8D"/>
    <w:rsid w:val="00DF0E66"/>
    <w:rsid w:val="00DF110F"/>
    <w:rsid w:val="00DF226C"/>
    <w:rsid w:val="00DF49B4"/>
    <w:rsid w:val="00DF5075"/>
    <w:rsid w:val="00DF5248"/>
    <w:rsid w:val="00E00625"/>
    <w:rsid w:val="00E021A6"/>
    <w:rsid w:val="00E0313B"/>
    <w:rsid w:val="00E03C67"/>
    <w:rsid w:val="00E04383"/>
    <w:rsid w:val="00E05E68"/>
    <w:rsid w:val="00E07C2C"/>
    <w:rsid w:val="00E12255"/>
    <w:rsid w:val="00E14133"/>
    <w:rsid w:val="00E1533D"/>
    <w:rsid w:val="00E15414"/>
    <w:rsid w:val="00E1579C"/>
    <w:rsid w:val="00E16844"/>
    <w:rsid w:val="00E1704B"/>
    <w:rsid w:val="00E17AC1"/>
    <w:rsid w:val="00E17FE3"/>
    <w:rsid w:val="00E20268"/>
    <w:rsid w:val="00E216A6"/>
    <w:rsid w:val="00E22612"/>
    <w:rsid w:val="00E22D68"/>
    <w:rsid w:val="00E2312F"/>
    <w:rsid w:val="00E2352E"/>
    <w:rsid w:val="00E237F9"/>
    <w:rsid w:val="00E24B21"/>
    <w:rsid w:val="00E24D8B"/>
    <w:rsid w:val="00E2536D"/>
    <w:rsid w:val="00E257F1"/>
    <w:rsid w:val="00E25AEF"/>
    <w:rsid w:val="00E26158"/>
    <w:rsid w:val="00E27416"/>
    <w:rsid w:val="00E33DF0"/>
    <w:rsid w:val="00E36D57"/>
    <w:rsid w:val="00E37C29"/>
    <w:rsid w:val="00E40205"/>
    <w:rsid w:val="00E41792"/>
    <w:rsid w:val="00E426C8"/>
    <w:rsid w:val="00E4317C"/>
    <w:rsid w:val="00E447D0"/>
    <w:rsid w:val="00E46384"/>
    <w:rsid w:val="00E465A2"/>
    <w:rsid w:val="00E46617"/>
    <w:rsid w:val="00E47284"/>
    <w:rsid w:val="00E50613"/>
    <w:rsid w:val="00E510C3"/>
    <w:rsid w:val="00E51C0D"/>
    <w:rsid w:val="00E520C1"/>
    <w:rsid w:val="00E53A44"/>
    <w:rsid w:val="00E5502F"/>
    <w:rsid w:val="00E567F9"/>
    <w:rsid w:val="00E57751"/>
    <w:rsid w:val="00E61716"/>
    <w:rsid w:val="00E62371"/>
    <w:rsid w:val="00E6410C"/>
    <w:rsid w:val="00E644BC"/>
    <w:rsid w:val="00E655D7"/>
    <w:rsid w:val="00E660E0"/>
    <w:rsid w:val="00E67A12"/>
    <w:rsid w:val="00E7029F"/>
    <w:rsid w:val="00E71120"/>
    <w:rsid w:val="00E71BFE"/>
    <w:rsid w:val="00E73C8D"/>
    <w:rsid w:val="00E7404A"/>
    <w:rsid w:val="00E768F0"/>
    <w:rsid w:val="00E76D01"/>
    <w:rsid w:val="00E8207A"/>
    <w:rsid w:val="00E831AB"/>
    <w:rsid w:val="00E86CAA"/>
    <w:rsid w:val="00E87976"/>
    <w:rsid w:val="00E954BC"/>
    <w:rsid w:val="00EA06FF"/>
    <w:rsid w:val="00EA1274"/>
    <w:rsid w:val="00EA1D3C"/>
    <w:rsid w:val="00EA33EE"/>
    <w:rsid w:val="00EA39B0"/>
    <w:rsid w:val="00EA4668"/>
    <w:rsid w:val="00EA5498"/>
    <w:rsid w:val="00EB124D"/>
    <w:rsid w:val="00EB17CE"/>
    <w:rsid w:val="00EB545E"/>
    <w:rsid w:val="00EB5B89"/>
    <w:rsid w:val="00EB6797"/>
    <w:rsid w:val="00EB6C41"/>
    <w:rsid w:val="00EB7B2C"/>
    <w:rsid w:val="00EB7D31"/>
    <w:rsid w:val="00EC0FF5"/>
    <w:rsid w:val="00EC1D44"/>
    <w:rsid w:val="00EC4C01"/>
    <w:rsid w:val="00EC79BB"/>
    <w:rsid w:val="00ED10A9"/>
    <w:rsid w:val="00ED2E18"/>
    <w:rsid w:val="00ED4575"/>
    <w:rsid w:val="00ED5B62"/>
    <w:rsid w:val="00ED60B5"/>
    <w:rsid w:val="00EE0548"/>
    <w:rsid w:val="00EE106C"/>
    <w:rsid w:val="00EE2AA0"/>
    <w:rsid w:val="00EE31CF"/>
    <w:rsid w:val="00EE4154"/>
    <w:rsid w:val="00EE58CF"/>
    <w:rsid w:val="00EE63AF"/>
    <w:rsid w:val="00EE68F5"/>
    <w:rsid w:val="00EE7773"/>
    <w:rsid w:val="00EE7A16"/>
    <w:rsid w:val="00EF0B97"/>
    <w:rsid w:val="00EF2E4A"/>
    <w:rsid w:val="00EF5942"/>
    <w:rsid w:val="00EF7135"/>
    <w:rsid w:val="00F01535"/>
    <w:rsid w:val="00F01DC2"/>
    <w:rsid w:val="00F020D3"/>
    <w:rsid w:val="00F05B71"/>
    <w:rsid w:val="00F0645F"/>
    <w:rsid w:val="00F13123"/>
    <w:rsid w:val="00F13519"/>
    <w:rsid w:val="00F207F9"/>
    <w:rsid w:val="00F2084C"/>
    <w:rsid w:val="00F268A2"/>
    <w:rsid w:val="00F32096"/>
    <w:rsid w:val="00F34C6C"/>
    <w:rsid w:val="00F363A5"/>
    <w:rsid w:val="00F41A9D"/>
    <w:rsid w:val="00F41F64"/>
    <w:rsid w:val="00F42378"/>
    <w:rsid w:val="00F42920"/>
    <w:rsid w:val="00F4364E"/>
    <w:rsid w:val="00F461DD"/>
    <w:rsid w:val="00F4667C"/>
    <w:rsid w:val="00F46A57"/>
    <w:rsid w:val="00F51E95"/>
    <w:rsid w:val="00F52FFA"/>
    <w:rsid w:val="00F532EB"/>
    <w:rsid w:val="00F53E7E"/>
    <w:rsid w:val="00F547A2"/>
    <w:rsid w:val="00F54BDD"/>
    <w:rsid w:val="00F54F61"/>
    <w:rsid w:val="00F57173"/>
    <w:rsid w:val="00F57A3C"/>
    <w:rsid w:val="00F57A4C"/>
    <w:rsid w:val="00F57F5E"/>
    <w:rsid w:val="00F63C16"/>
    <w:rsid w:val="00F63D1B"/>
    <w:rsid w:val="00F63E22"/>
    <w:rsid w:val="00F6614F"/>
    <w:rsid w:val="00F664DB"/>
    <w:rsid w:val="00F6650E"/>
    <w:rsid w:val="00F70BD9"/>
    <w:rsid w:val="00F7294F"/>
    <w:rsid w:val="00F73322"/>
    <w:rsid w:val="00F73377"/>
    <w:rsid w:val="00F73936"/>
    <w:rsid w:val="00F74799"/>
    <w:rsid w:val="00F750EF"/>
    <w:rsid w:val="00F76A69"/>
    <w:rsid w:val="00F778D7"/>
    <w:rsid w:val="00F81E2E"/>
    <w:rsid w:val="00F8296E"/>
    <w:rsid w:val="00F82F1C"/>
    <w:rsid w:val="00F84BA3"/>
    <w:rsid w:val="00F85C07"/>
    <w:rsid w:val="00F85ED2"/>
    <w:rsid w:val="00F87DED"/>
    <w:rsid w:val="00F87E8B"/>
    <w:rsid w:val="00F92762"/>
    <w:rsid w:val="00F934F9"/>
    <w:rsid w:val="00F9495F"/>
    <w:rsid w:val="00F94A5A"/>
    <w:rsid w:val="00F96209"/>
    <w:rsid w:val="00FA138C"/>
    <w:rsid w:val="00FA1F0C"/>
    <w:rsid w:val="00FB1315"/>
    <w:rsid w:val="00FB1DDE"/>
    <w:rsid w:val="00FB1FCB"/>
    <w:rsid w:val="00FB28F3"/>
    <w:rsid w:val="00FB2A64"/>
    <w:rsid w:val="00FB497C"/>
    <w:rsid w:val="00FB49E5"/>
    <w:rsid w:val="00FB4B72"/>
    <w:rsid w:val="00FB515A"/>
    <w:rsid w:val="00FB55E0"/>
    <w:rsid w:val="00FB6ED9"/>
    <w:rsid w:val="00FB7C85"/>
    <w:rsid w:val="00FC208D"/>
    <w:rsid w:val="00FC3B8E"/>
    <w:rsid w:val="00FC4368"/>
    <w:rsid w:val="00FC650C"/>
    <w:rsid w:val="00FC73F3"/>
    <w:rsid w:val="00FD0335"/>
    <w:rsid w:val="00FD0930"/>
    <w:rsid w:val="00FD36ED"/>
    <w:rsid w:val="00FD71BF"/>
    <w:rsid w:val="00FD7498"/>
    <w:rsid w:val="00FE10A7"/>
    <w:rsid w:val="00FE1A4E"/>
    <w:rsid w:val="00FE4D91"/>
    <w:rsid w:val="00FE4F9F"/>
    <w:rsid w:val="00FE6A9D"/>
    <w:rsid w:val="00FF2226"/>
    <w:rsid w:val="00FF2D2F"/>
    <w:rsid w:val="00FF38FD"/>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312A231B"/>
  <w15:docId w15:val="{06A39C9C-6580-4863-A544-7DDB6CD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78"/>
    <w:pPr>
      <w:overflowPunct w:val="0"/>
      <w:autoSpaceDE w:val="0"/>
      <w:autoSpaceDN w:val="0"/>
      <w:adjustRightInd w:val="0"/>
      <w:spacing w:after="120"/>
      <w:textAlignment w:val="baseline"/>
    </w:pPr>
    <w:rPr>
      <w:rFonts w:ascii="Arial" w:hAnsi="Arial"/>
      <w:sz w:val="24"/>
      <w:lang w:eastAsia="en-US"/>
    </w:rPr>
  </w:style>
  <w:style w:type="paragraph" w:styleId="Heading1">
    <w:name w:val="heading 1"/>
    <w:basedOn w:val="Normal"/>
    <w:next w:val="Normal"/>
    <w:link w:val="Heading1Char"/>
    <w:uiPriority w:val="9"/>
    <w:qFormat/>
    <w:rsid w:val="00311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19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uiPriority w:val="9"/>
    <w:unhideWhenUsed/>
    <w:qFormat/>
    <w:rsid w:val="00707F5D"/>
    <w:pPr>
      <w:overflowPunct/>
      <w:autoSpaceDE/>
      <w:autoSpaceDN/>
      <w:adjustRightInd/>
      <w:spacing w:after="0"/>
      <w:ind w:left="1078" w:hanging="794"/>
      <w:textAlignment w:val="auto"/>
      <w:outlineLvl w:val="2"/>
    </w:pPr>
    <w:rPr>
      <w:rFonts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82390"/>
    <w:pPr>
      <w:tabs>
        <w:tab w:val="center" w:pos="4153"/>
        <w:tab w:val="right" w:pos="8306"/>
      </w:tabs>
    </w:pPr>
  </w:style>
  <w:style w:type="character" w:customStyle="1" w:styleId="FooterChar">
    <w:name w:val="Footer Char"/>
    <w:link w:val="Footer"/>
    <w:uiPriority w:val="99"/>
    <w:semiHidden/>
    <w:locked/>
    <w:rsid w:val="00876CF7"/>
    <w:rPr>
      <w:rFonts w:cs="Times New Roman"/>
      <w:lang w:val="x-none" w:eastAsia="en-US"/>
    </w:rPr>
  </w:style>
  <w:style w:type="character" w:styleId="PageNumber">
    <w:name w:val="page number"/>
    <w:uiPriority w:val="99"/>
    <w:semiHidden/>
    <w:rsid w:val="00C82390"/>
    <w:rPr>
      <w:rFonts w:cs="Times New Roman"/>
    </w:rPr>
  </w:style>
  <w:style w:type="paragraph" w:styleId="Header">
    <w:name w:val="header"/>
    <w:basedOn w:val="Normal"/>
    <w:link w:val="HeaderChar"/>
    <w:uiPriority w:val="99"/>
    <w:unhideWhenUsed/>
    <w:rsid w:val="003A3487"/>
    <w:pPr>
      <w:tabs>
        <w:tab w:val="center" w:pos="4513"/>
        <w:tab w:val="right" w:pos="9026"/>
      </w:tabs>
      <w:spacing w:after="0"/>
    </w:pPr>
  </w:style>
  <w:style w:type="character" w:customStyle="1" w:styleId="HeaderChar">
    <w:name w:val="Header Char"/>
    <w:basedOn w:val="DefaultParagraphFont"/>
    <w:link w:val="Header"/>
    <w:uiPriority w:val="99"/>
    <w:rsid w:val="003A3487"/>
    <w:rPr>
      <w:rFonts w:ascii="Arial" w:hAnsi="Arial"/>
      <w:sz w:val="24"/>
      <w:lang w:eastAsia="en-US"/>
    </w:rPr>
  </w:style>
  <w:style w:type="paragraph" w:customStyle="1" w:styleId="SectionHeader">
    <w:name w:val="Section Header"/>
    <w:basedOn w:val="Normal"/>
    <w:next w:val="NumberedParagraph"/>
    <w:link w:val="SectionHeaderChar"/>
    <w:qFormat/>
    <w:rsid w:val="00E20268"/>
    <w:pPr>
      <w:keepNext/>
      <w:spacing w:before="240"/>
    </w:pPr>
    <w:rPr>
      <w:b/>
    </w:rPr>
  </w:style>
  <w:style w:type="table" w:styleId="GridTable5Dark">
    <w:name w:val="Grid Table 5 Dark"/>
    <w:basedOn w:val="TableNormal"/>
    <w:uiPriority w:val="50"/>
    <w:rsid w:val="00767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ectionHeaderChar">
    <w:name w:val="Section Header Char"/>
    <w:basedOn w:val="DefaultParagraphFont"/>
    <w:link w:val="SectionHeader"/>
    <w:rsid w:val="00E20268"/>
    <w:rPr>
      <w:rFonts w:ascii="Arial" w:hAnsi="Arial"/>
      <w:b/>
      <w:sz w:val="24"/>
      <w:lang w:eastAsia="en-US"/>
    </w:rPr>
  </w:style>
  <w:style w:type="table" w:styleId="TableGrid">
    <w:name w:val="Table Grid"/>
    <w:basedOn w:val="TableNormal"/>
    <w:uiPriority w:val="59"/>
    <w:rsid w:val="00A24A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center"/>
      </w:pPr>
      <w:rPr>
        <w:b w:val="0"/>
        <w:sz w:val="20"/>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FFFFFF" w:themeFill="background1"/>
      </w:tcPr>
    </w:tblStylePr>
    <w:tblStylePr w:type="firstCol">
      <w:rPr>
        <w:b/>
      </w:rPr>
    </w:tblStylePr>
  </w:style>
  <w:style w:type="character" w:customStyle="1" w:styleId="Heading2Char">
    <w:name w:val="Heading 2 Char"/>
    <w:basedOn w:val="DefaultParagraphFont"/>
    <w:link w:val="Heading2"/>
    <w:uiPriority w:val="9"/>
    <w:rsid w:val="003119E2"/>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90187E"/>
    <w:rPr>
      <w:color w:val="808080"/>
    </w:rPr>
  </w:style>
  <w:style w:type="paragraph" w:styleId="BalloonText">
    <w:name w:val="Balloon Text"/>
    <w:basedOn w:val="Normal"/>
    <w:link w:val="BalloonTextChar"/>
    <w:uiPriority w:val="99"/>
    <w:semiHidden/>
    <w:unhideWhenUsed/>
    <w:rsid w:val="0090187E"/>
    <w:rPr>
      <w:rFonts w:ascii="Tahoma" w:hAnsi="Tahoma" w:cs="Tahoma"/>
      <w:sz w:val="16"/>
      <w:szCs w:val="16"/>
    </w:rPr>
  </w:style>
  <w:style w:type="character" w:customStyle="1" w:styleId="BalloonTextChar">
    <w:name w:val="Balloon Text Char"/>
    <w:basedOn w:val="DefaultParagraphFont"/>
    <w:link w:val="BalloonText"/>
    <w:uiPriority w:val="99"/>
    <w:semiHidden/>
    <w:rsid w:val="0090187E"/>
    <w:rPr>
      <w:rFonts w:ascii="Tahoma" w:hAnsi="Tahoma" w:cs="Tahoma"/>
      <w:sz w:val="16"/>
      <w:szCs w:val="16"/>
      <w:lang w:eastAsia="en-US"/>
    </w:rPr>
  </w:style>
  <w:style w:type="character" w:customStyle="1" w:styleId="Heading1Char">
    <w:name w:val="Heading 1 Char"/>
    <w:basedOn w:val="DefaultParagraphFont"/>
    <w:link w:val="Heading1"/>
    <w:uiPriority w:val="9"/>
    <w:rsid w:val="003119E2"/>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link w:val="ListParagraphChar"/>
    <w:uiPriority w:val="34"/>
    <w:qFormat/>
    <w:rsid w:val="005D3778"/>
    <w:pPr>
      <w:ind w:left="720"/>
      <w:contextualSpacing/>
    </w:pPr>
  </w:style>
  <w:style w:type="paragraph" w:customStyle="1" w:styleId="NumberedParagraph">
    <w:name w:val="Numbered Paragraph"/>
    <w:basedOn w:val="ListParagraph"/>
    <w:link w:val="NumberedParagraphChar"/>
    <w:qFormat/>
    <w:rsid w:val="00FB55E0"/>
    <w:pPr>
      <w:numPr>
        <w:numId w:val="1"/>
      </w:numPr>
      <w:spacing w:after="240"/>
      <w:contextualSpacing w:val="0"/>
    </w:pPr>
  </w:style>
  <w:style w:type="character" w:customStyle="1" w:styleId="ListParagraphChar">
    <w:name w:val="List Paragraph Char"/>
    <w:basedOn w:val="DefaultParagraphFont"/>
    <w:link w:val="ListParagraph"/>
    <w:uiPriority w:val="34"/>
    <w:rsid w:val="005D3778"/>
    <w:rPr>
      <w:rFonts w:ascii="Arial" w:hAnsi="Arial"/>
      <w:sz w:val="24"/>
      <w:lang w:eastAsia="en-US"/>
    </w:rPr>
  </w:style>
  <w:style w:type="character" w:customStyle="1" w:styleId="NumberedParagraphChar">
    <w:name w:val="Numbered Paragraph Char"/>
    <w:basedOn w:val="ListParagraphChar"/>
    <w:link w:val="NumberedParagraph"/>
    <w:rsid w:val="00FB55E0"/>
    <w:rPr>
      <w:rFonts w:ascii="Arial" w:hAnsi="Arial"/>
      <w:sz w:val="24"/>
      <w:lang w:eastAsia="en-US"/>
    </w:rPr>
  </w:style>
  <w:style w:type="character" w:styleId="CommentReference">
    <w:name w:val="annotation reference"/>
    <w:basedOn w:val="DefaultParagraphFont"/>
    <w:uiPriority w:val="99"/>
    <w:semiHidden/>
    <w:unhideWhenUsed/>
    <w:rsid w:val="00FF2226"/>
    <w:rPr>
      <w:sz w:val="16"/>
      <w:szCs w:val="16"/>
    </w:rPr>
  </w:style>
  <w:style w:type="paragraph" w:styleId="CommentText">
    <w:name w:val="annotation text"/>
    <w:basedOn w:val="Normal"/>
    <w:link w:val="CommentTextChar"/>
    <w:uiPriority w:val="99"/>
    <w:semiHidden/>
    <w:unhideWhenUsed/>
    <w:rsid w:val="00FF2226"/>
    <w:rPr>
      <w:sz w:val="20"/>
    </w:rPr>
  </w:style>
  <w:style w:type="character" w:customStyle="1" w:styleId="CommentTextChar">
    <w:name w:val="Comment Text Char"/>
    <w:basedOn w:val="DefaultParagraphFont"/>
    <w:link w:val="CommentText"/>
    <w:uiPriority w:val="99"/>
    <w:semiHidden/>
    <w:rsid w:val="00FF22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2226"/>
    <w:rPr>
      <w:b/>
      <w:bCs/>
    </w:rPr>
  </w:style>
  <w:style w:type="character" w:customStyle="1" w:styleId="CommentSubjectChar">
    <w:name w:val="Comment Subject Char"/>
    <w:basedOn w:val="CommentTextChar"/>
    <w:link w:val="CommentSubject"/>
    <w:uiPriority w:val="99"/>
    <w:semiHidden/>
    <w:rsid w:val="00FF2226"/>
    <w:rPr>
      <w:rFonts w:ascii="Arial" w:hAnsi="Arial"/>
      <w:b/>
      <w:bCs/>
      <w:lang w:eastAsia="en-US"/>
    </w:rPr>
  </w:style>
  <w:style w:type="paragraph" w:styleId="FootnoteText">
    <w:name w:val="footnote text"/>
    <w:basedOn w:val="Normal"/>
    <w:link w:val="FootnoteTextChar"/>
    <w:uiPriority w:val="99"/>
    <w:semiHidden/>
    <w:unhideWhenUsed/>
    <w:rsid w:val="00510C3A"/>
    <w:rPr>
      <w:color w:val="C00000"/>
      <w:sz w:val="20"/>
    </w:rPr>
  </w:style>
  <w:style w:type="character" w:customStyle="1" w:styleId="FootnoteTextChar">
    <w:name w:val="Footnote Text Char"/>
    <w:basedOn w:val="DefaultParagraphFont"/>
    <w:link w:val="FootnoteText"/>
    <w:uiPriority w:val="99"/>
    <w:semiHidden/>
    <w:rsid w:val="00510C3A"/>
    <w:rPr>
      <w:rFonts w:ascii="Arial" w:hAnsi="Arial"/>
      <w:color w:val="C00000"/>
      <w:lang w:eastAsia="en-US"/>
    </w:rPr>
  </w:style>
  <w:style w:type="character" w:styleId="FootnoteReference">
    <w:name w:val="footnote reference"/>
    <w:basedOn w:val="DefaultParagraphFont"/>
    <w:uiPriority w:val="99"/>
    <w:semiHidden/>
    <w:unhideWhenUsed/>
    <w:rsid w:val="00FF2226"/>
    <w:rPr>
      <w:vertAlign w:val="superscript"/>
    </w:rPr>
  </w:style>
  <w:style w:type="paragraph" w:customStyle="1" w:styleId="Notforpublication">
    <w:name w:val="Not for publication"/>
    <w:basedOn w:val="Normal"/>
    <w:link w:val="NotforpublicationChar"/>
    <w:qFormat/>
    <w:rsid w:val="00553614"/>
    <w:pPr>
      <w:pBdr>
        <w:top w:val="single" w:sz="4" w:space="2" w:color="FF0000"/>
        <w:left w:val="single" w:sz="4" w:space="0" w:color="FF0000"/>
        <w:bottom w:val="single" w:sz="4" w:space="2" w:color="FF0000"/>
        <w:right w:val="single" w:sz="4" w:space="0" w:color="FF0000"/>
      </w:pBdr>
      <w:shd w:val="pct35" w:color="FFFF00" w:fill="auto"/>
      <w:spacing w:before="120" w:line="288" w:lineRule="auto"/>
      <w:contextualSpacing/>
      <w:jc w:val="center"/>
    </w:pPr>
    <w:rPr>
      <w:b/>
      <w:noProof/>
      <w:lang w:eastAsia="en-GB"/>
    </w:rPr>
  </w:style>
  <w:style w:type="character" w:customStyle="1" w:styleId="NotforpublicationChar">
    <w:name w:val="Not for publication Char"/>
    <w:basedOn w:val="DefaultParagraphFont"/>
    <w:link w:val="Notforpublication"/>
    <w:rsid w:val="00553614"/>
    <w:rPr>
      <w:rFonts w:ascii="Arial" w:hAnsi="Arial"/>
      <w:b/>
      <w:noProof/>
      <w:sz w:val="24"/>
      <w:shd w:val="pct35" w:color="FFFF00" w:fill="auto"/>
    </w:rPr>
  </w:style>
  <w:style w:type="paragraph" w:customStyle="1" w:styleId="FieldHeadings">
    <w:name w:val="Field Headings"/>
    <w:basedOn w:val="Normal"/>
    <w:link w:val="FieldHeadingsChar"/>
    <w:qFormat/>
    <w:rsid w:val="00463A02"/>
    <w:pPr>
      <w:pBdr>
        <w:top w:val="single" w:sz="4" w:space="1" w:color="auto"/>
        <w:left w:val="single" w:sz="4" w:space="4" w:color="auto"/>
        <w:bottom w:val="single" w:sz="4" w:space="1" w:color="auto"/>
        <w:right w:val="single" w:sz="4" w:space="4" w:color="auto"/>
        <w:between w:val="single" w:sz="4" w:space="1" w:color="auto"/>
      </w:pBdr>
      <w:tabs>
        <w:tab w:val="bar" w:pos="3175"/>
        <w:tab w:val="left" w:pos="3232"/>
        <w:tab w:val="left" w:pos="4820"/>
        <w:tab w:val="left" w:pos="5954"/>
        <w:tab w:val="left" w:pos="8222"/>
      </w:tabs>
      <w:spacing w:after="0"/>
      <w:ind w:left="3232" w:hanging="3232"/>
    </w:pPr>
    <w:rPr>
      <w:b/>
    </w:rPr>
  </w:style>
  <w:style w:type="character" w:customStyle="1" w:styleId="FieldHeadingsField">
    <w:name w:val="Field Headings Field"/>
    <w:basedOn w:val="DefaultParagraphFont"/>
    <w:uiPriority w:val="1"/>
    <w:rsid w:val="004B04EB"/>
    <w:rPr>
      <w:rFonts w:ascii="Arial" w:hAnsi="Arial"/>
      <w:b/>
      <w:sz w:val="24"/>
      <w:lang w:eastAsia="en-US"/>
    </w:rPr>
  </w:style>
  <w:style w:type="character" w:styleId="LineNumber">
    <w:name w:val="line number"/>
    <w:basedOn w:val="DefaultParagraphFont"/>
    <w:uiPriority w:val="99"/>
    <w:semiHidden/>
    <w:unhideWhenUsed/>
    <w:rsid w:val="00802464"/>
  </w:style>
  <w:style w:type="paragraph" w:customStyle="1" w:styleId="ItemNo">
    <w:name w:val="Item No"/>
    <w:basedOn w:val="Normal"/>
    <w:link w:val="ItemNoChar"/>
    <w:qFormat/>
    <w:rsid w:val="006947EE"/>
    <w:pPr>
      <w:pBdr>
        <w:top w:val="single" w:sz="4" w:space="1" w:color="auto"/>
        <w:left w:val="single" w:sz="4" w:space="4" w:color="auto"/>
        <w:right w:val="single" w:sz="4" w:space="4" w:color="auto"/>
      </w:pBdr>
      <w:spacing w:after="0"/>
      <w:ind w:left="8959"/>
      <w:contextualSpacing/>
      <w:jc w:val="center"/>
    </w:pPr>
    <w:rPr>
      <w:b/>
      <w:sz w:val="36"/>
      <w:szCs w:val="48"/>
    </w:rPr>
  </w:style>
  <w:style w:type="paragraph" w:customStyle="1" w:styleId="SectionHeader2">
    <w:name w:val="Section Header 2"/>
    <w:basedOn w:val="SectionHeader"/>
    <w:link w:val="SectionHeader2Char"/>
    <w:qFormat/>
    <w:rsid w:val="009F50A9"/>
    <w:pPr>
      <w:spacing w:after="240"/>
    </w:pPr>
    <w:rPr>
      <w:u w:val="single"/>
    </w:rPr>
  </w:style>
  <w:style w:type="character" w:customStyle="1" w:styleId="ItemNoChar">
    <w:name w:val="Item No Char"/>
    <w:basedOn w:val="DefaultParagraphFont"/>
    <w:link w:val="ItemNo"/>
    <w:rsid w:val="006947EE"/>
    <w:rPr>
      <w:rFonts w:ascii="Arial" w:hAnsi="Arial"/>
      <w:b/>
      <w:sz w:val="36"/>
      <w:szCs w:val="48"/>
      <w:lang w:eastAsia="en-US"/>
    </w:rPr>
  </w:style>
  <w:style w:type="character" w:customStyle="1" w:styleId="FieldHeadingsChar">
    <w:name w:val="Field Headings Char"/>
    <w:basedOn w:val="DefaultParagraphFont"/>
    <w:link w:val="FieldHeadings"/>
    <w:rsid w:val="00463A02"/>
    <w:rPr>
      <w:rFonts w:ascii="Arial" w:hAnsi="Arial"/>
      <w:b/>
      <w:sz w:val="24"/>
      <w:lang w:eastAsia="en-US"/>
    </w:rPr>
  </w:style>
  <w:style w:type="character" w:customStyle="1" w:styleId="SectionHeader2Char">
    <w:name w:val="Section Header 2 Char"/>
    <w:basedOn w:val="SectionHeaderChar"/>
    <w:link w:val="SectionHeader2"/>
    <w:rsid w:val="009F50A9"/>
    <w:rPr>
      <w:rFonts w:ascii="Arial" w:hAnsi="Arial"/>
      <w:b/>
      <w:sz w:val="24"/>
      <w:u w:val="single"/>
      <w:lang w:eastAsia="en-US"/>
    </w:rPr>
  </w:style>
  <w:style w:type="table" w:customStyle="1" w:styleId="TableGrid1">
    <w:name w:val="Table Grid1"/>
    <w:basedOn w:val="TableNormal"/>
    <w:next w:val="TableGrid"/>
    <w:uiPriority w:val="59"/>
    <w:rsid w:val="00435A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7F5D"/>
    <w:rPr>
      <w:rFonts w:ascii="Arial" w:hAnsi="Arial" w:cs="Arial"/>
      <w:color w:val="000000"/>
      <w:sz w:val="24"/>
    </w:rPr>
  </w:style>
  <w:style w:type="table" w:customStyle="1" w:styleId="TableGrid2">
    <w:name w:val="Table Grid2"/>
    <w:basedOn w:val="TableNormal"/>
    <w:next w:val="TableGrid"/>
    <w:uiPriority w:val="59"/>
    <w:rsid w:val="005733D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center"/>
      </w:pPr>
      <w:rPr>
        <w:b w:val="0"/>
        <w:sz w:val="20"/>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FFFFFF"/>
      </w:tcPr>
    </w:tblStylePr>
    <w:tblStylePr w:type="firstCol">
      <w:rPr>
        <w:b/>
      </w:rPr>
    </w:tblStylePr>
  </w:style>
  <w:style w:type="table" w:customStyle="1" w:styleId="TableGrid3">
    <w:name w:val="Table Grid3"/>
    <w:basedOn w:val="TableNormal"/>
    <w:next w:val="TableGrid"/>
    <w:uiPriority w:val="39"/>
    <w:rsid w:val="00761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A49"/>
    <w:rPr>
      <w:color w:val="0000FF" w:themeColor="hyperlink"/>
      <w:u w:val="single"/>
    </w:rPr>
  </w:style>
  <w:style w:type="character" w:styleId="FollowedHyperlink">
    <w:name w:val="FollowedHyperlink"/>
    <w:basedOn w:val="DefaultParagraphFont"/>
    <w:uiPriority w:val="99"/>
    <w:semiHidden/>
    <w:unhideWhenUsed/>
    <w:rsid w:val="00CF2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251">
      <w:bodyDiv w:val="1"/>
      <w:marLeft w:val="0"/>
      <w:marRight w:val="0"/>
      <w:marTop w:val="0"/>
      <w:marBottom w:val="0"/>
      <w:divBdr>
        <w:top w:val="none" w:sz="0" w:space="0" w:color="auto"/>
        <w:left w:val="none" w:sz="0" w:space="0" w:color="auto"/>
        <w:bottom w:val="none" w:sz="0" w:space="0" w:color="auto"/>
        <w:right w:val="none" w:sz="0" w:space="0" w:color="auto"/>
      </w:divBdr>
    </w:div>
    <w:div w:id="31419893">
      <w:bodyDiv w:val="1"/>
      <w:marLeft w:val="0"/>
      <w:marRight w:val="0"/>
      <w:marTop w:val="0"/>
      <w:marBottom w:val="0"/>
      <w:divBdr>
        <w:top w:val="none" w:sz="0" w:space="0" w:color="auto"/>
        <w:left w:val="none" w:sz="0" w:space="0" w:color="auto"/>
        <w:bottom w:val="none" w:sz="0" w:space="0" w:color="auto"/>
        <w:right w:val="none" w:sz="0" w:space="0" w:color="auto"/>
      </w:divBdr>
    </w:div>
    <w:div w:id="192961490">
      <w:bodyDiv w:val="1"/>
      <w:marLeft w:val="0"/>
      <w:marRight w:val="0"/>
      <w:marTop w:val="0"/>
      <w:marBottom w:val="0"/>
      <w:divBdr>
        <w:top w:val="none" w:sz="0" w:space="0" w:color="auto"/>
        <w:left w:val="none" w:sz="0" w:space="0" w:color="auto"/>
        <w:bottom w:val="none" w:sz="0" w:space="0" w:color="auto"/>
        <w:right w:val="none" w:sz="0" w:space="0" w:color="auto"/>
      </w:divBdr>
    </w:div>
    <w:div w:id="209462503">
      <w:bodyDiv w:val="1"/>
      <w:marLeft w:val="0"/>
      <w:marRight w:val="0"/>
      <w:marTop w:val="0"/>
      <w:marBottom w:val="0"/>
      <w:divBdr>
        <w:top w:val="none" w:sz="0" w:space="0" w:color="auto"/>
        <w:left w:val="none" w:sz="0" w:space="0" w:color="auto"/>
        <w:bottom w:val="none" w:sz="0" w:space="0" w:color="auto"/>
        <w:right w:val="none" w:sz="0" w:space="0" w:color="auto"/>
      </w:divBdr>
    </w:div>
    <w:div w:id="266237671">
      <w:bodyDiv w:val="1"/>
      <w:marLeft w:val="0"/>
      <w:marRight w:val="0"/>
      <w:marTop w:val="0"/>
      <w:marBottom w:val="0"/>
      <w:divBdr>
        <w:top w:val="none" w:sz="0" w:space="0" w:color="auto"/>
        <w:left w:val="none" w:sz="0" w:space="0" w:color="auto"/>
        <w:bottom w:val="none" w:sz="0" w:space="0" w:color="auto"/>
        <w:right w:val="none" w:sz="0" w:space="0" w:color="auto"/>
      </w:divBdr>
    </w:div>
    <w:div w:id="277880298">
      <w:bodyDiv w:val="1"/>
      <w:marLeft w:val="0"/>
      <w:marRight w:val="0"/>
      <w:marTop w:val="0"/>
      <w:marBottom w:val="0"/>
      <w:divBdr>
        <w:top w:val="none" w:sz="0" w:space="0" w:color="auto"/>
        <w:left w:val="none" w:sz="0" w:space="0" w:color="auto"/>
        <w:bottom w:val="none" w:sz="0" w:space="0" w:color="auto"/>
        <w:right w:val="none" w:sz="0" w:space="0" w:color="auto"/>
      </w:divBdr>
    </w:div>
    <w:div w:id="278142749">
      <w:bodyDiv w:val="1"/>
      <w:marLeft w:val="0"/>
      <w:marRight w:val="0"/>
      <w:marTop w:val="0"/>
      <w:marBottom w:val="0"/>
      <w:divBdr>
        <w:top w:val="none" w:sz="0" w:space="0" w:color="auto"/>
        <w:left w:val="none" w:sz="0" w:space="0" w:color="auto"/>
        <w:bottom w:val="none" w:sz="0" w:space="0" w:color="auto"/>
        <w:right w:val="none" w:sz="0" w:space="0" w:color="auto"/>
      </w:divBdr>
    </w:div>
    <w:div w:id="288901452">
      <w:bodyDiv w:val="1"/>
      <w:marLeft w:val="0"/>
      <w:marRight w:val="0"/>
      <w:marTop w:val="0"/>
      <w:marBottom w:val="0"/>
      <w:divBdr>
        <w:top w:val="none" w:sz="0" w:space="0" w:color="auto"/>
        <w:left w:val="none" w:sz="0" w:space="0" w:color="auto"/>
        <w:bottom w:val="none" w:sz="0" w:space="0" w:color="auto"/>
        <w:right w:val="none" w:sz="0" w:space="0" w:color="auto"/>
      </w:divBdr>
    </w:div>
    <w:div w:id="292759120">
      <w:bodyDiv w:val="1"/>
      <w:marLeft w:val="0"/>
      <w:marRight w:val="0"/>
      <w:marTop w:val="0"/>
      <w:marBottom w:val="0"/>
      <w:divBdr>
        <w:top w:val="none" w:sz="0" w:space="0" w:color="auto"/>
        <w:left w:val="none" w:sz="0" w:space="0" w:color="auto"/>
        <w:bottom w:val="none" w:sz="0" w:space="0" w:color="auto"/>
        <w:right w:val="none" w:sz="0" w:space="0" w:color="auto"/>
      </w:divBdr>
    </w:div>
    <w:div w:id="292950098">
      <w:bodyDiv w:val="1"/>
      <w:marLeft w:val="0"/>
      <w:marRight w:val="0"/>
      <w:marTop w:val="0"/>
      <w:marBottom w:val="0"/>
      <w:divBdr>
        <w:top w:val="none" w:sz="0" w:space="0" w:color="auto"/>
        <w:left w:val="none" w:sz="0" w:space="0" w:color="auto"/>
        <w:bottom w:val="none" w:sz="0" w:space="0" w:color="auto"/>
        <w:right w:val="none" w:sz="0" w:space="0" w:color="auto"/>
      </w:divBdr>
    </w:div>
    <w:div w:id="367264665">
      <w:bodyDiv w:val="1"/>
      <w:marLeft w:val="0"/>
      <w:marRight w:val="0"/>
      <w:marTop w:val="0"/>
      <w:marBottom w:val="0"/>
      <w:divBdr>
        <w:top w:val="none" w:sz="0" w:space="0" w:color="auto"/>
        <w:left w:val="none" w:sz="0" w:space="0" w:color="auto"/>
        <w:bottom w:val="none" w:sz="0" w:space="0" w:color="auto"/>
        <w:right w:val="none" w:sz="0" w:space="0" w:color="auto"/>
      </w:divBdr>
    </w:div>
    <w:div w:id="435371561">
      <w:bodyDiv w:val="1"/>
      <w:marLeft w:val="0"/>
      <w:marRight w:val="0"/>
      <w:marTop w:val="0"/>
      <w:marBottom w:val="0"/>
      <w:divBdr>
        <w:top w:val="none" w:sz="0" w:space="0" w:color="auto"/>
        <w:left w:val="none" w:sz="0" w:space="0" w:color="auto"/>
        <w:bottom w:val="none" w:sz="0" w:space="0" w:color="auto"/>
        <w:right w:val="none" w:sz="0" w:space="0" w:color="auto"/>
      </w:divBdr>
    </w:div>
    <w:div w:id="476653231">
      <w:bodyDiv w:val="1"/>
      <w:marLeft w:val="0"/>
      <w:marRight w:val="0"/>
      <w:marTop w:val="0"/>
      <w:marBottom w:val="0"/>
      <w:divBdr>
        <w:top w:val="none" w:sz="0" w:space="0" w:color="auto"/>
        <w:left w:val="none" w:sz="0" w:space="0" w:color="auto"/>
        <w:bottom w:val="none" w:sz="0" w:space="0" w:color="auto"/>
        <w:right w:val="none" w:sz="0" w:space="0" w:color="auto"/>
      </w:divBdr>
    </w:div>
    <w:div w:id="541599328">
      <w:bodyDiv w:val="1"/>
      <w:marLeft w:val="0"/>
      <w:marRight w:val="0"/>
      <w:marTop w:val="0"/>
      <w:marBottom w:val="0"/>
      <w:divBdr>
        <w:top w:val="none" w:sz="0" w:space="0" w:color="auto"/>
        <w:left w:val="none" w:sz="0" w:space="0" w:color="auto"/>
        <w:bottom w:val="none" w:sz="0" w:space="0" w:color="auto"/>
        <w:right w:val="none" w:sz="0" w:space="0" w:color="auto"/>
      </w:divBdr>
    </w:div>
    <w:div w:id="715423573">
      <w:bodyDiv w:val="1"/>
      <w:marLeft w:val="0"/>
      <w:marRight w:val="0"/>
      <w:marTop w:val="0"/>
      <w:marBottom w:val="0"/>
      <w:divBdr>
        <w:top w:val="none" w:sz="0" w:space="0" w:color="auto"/>
        <w:left w:val="none" w:sz="0" w:space="0" w:color="auto"/>
        <w:bottom w:val="none" w:sz="0" w:space="0" w:color="auto"/>
        <w:right w:val="none" w:sz="0" w:space="0" w:color="auto"/>
      </w:divBdr>
    </w:div>
    <w:div w:id="731196804">
      <w:bodyDiv w:val="1"/>
      <w:marLeft w:val="0"/>
      <w:marRight w:val="0"/>
      <w:marTop w:val="0"/>
      <w:marBottom w:val="0"/>
      <w:divBdr>
        <w:top w:val="none" w:sz="0" w:space="0" w:color="auto"/>
        <w:left w:val="none" w:sz="0" w:space="0" w:color="auto"/>
        <w:bottom w:val="none" w:sz="0" w:space="0" w:color="auto"/>
        <w:right w:val="none" w:sz="0" w:space="0" w:color="auto"/>
      </w:divBdr>
    </w:div>
    <w:div w:id="745689680">
      <w:bodyDiv w:val="1"/>
      <w:marLeft w:val="0"/>
      <w:marRight w:val="0"/>
      <w:marTop w:val="0"/>
      <w:marBottom w:val="0"/>
      <w:divBdr>
        <w:top w:val="none" w:sz="0" w:space="0" w:color="auto"/>
        <w:left w:val="none" w:sz="0" w:space="0" w:color="auto"/>
        <w:bottom w:val="none" w:sz="0" w:space="0" w:color="auto"/>
        <w:right w:val="none" w:sz="0" w:space="0" w:color="auto"/>
      </w:divBdr>
    </w:div>
    <w:div w:id="771441357">
      <w:bodyDiv w:val="1"/>
      <w:marLeft w:val="0"/>
      <w:marRight w:val="0"/>
      <w:marTop w:val="0"/>
      <w:marBottom w:val="0"/>
      <w:divBdr>
        <w:top w:val="none" w:sz="0" w:space="0" w:color="auto"/>
        <w:left w:val="none" w:sz="0" w:space="0" w:color="auto"/>
        <w:bottom w:val="none" w:sz="0" w:space="0" w:color="auto"/>
        <w:right w:val="none" w:sz="0" w:space="0" w:color="auto"/>
      </w:divBdr>
    </w:div>
    <w:div w:id="788358747">
      <w:bodyDiv w:val="1"/>
      <w:marLeft w:val="0"/>
      <w:marRight w:val="0"/>
      <w:marTop w:val="0"/>
      <w:marBottom w:val="0"/>
      <w:divBdr>
        <w:top w:val="none" w:sz="0" w:space="0" w:color="auto"/>
        <w:left w:val="none" w:sz="0" w:space="0" w:color="auto"/>
        <w:bottom w:val="none" w:sz="0" w:space="0" w:color="auto"/>
        <w:right w:val="none" w:sz="0" w:space="0" w:color="auto"/>
      </w:divBdr>
    </w:div>
    <w:div w:id="797573912">
      <w:bodyDiv w:val="1"/>
      <w:marLeft w:val="0"/>
      <w:marRight w:val="0"/>
      <w:marTop w:val="0"/>
      <w:marBottom w:val="0"/>
      <w:divBdr>
        <w:top w:val="none" w:sz="0" w:space="0" w:color="auto"/>
        <w:left w:val="none" w:sz="0" w:space="0" w:color="auto"/>
        <w:bottom w:val="none" w:sz="0" w:space="0" w:color="auto"/>
        <w:right w:val="none" w:sz="0" w:space="0" w:color="auto"/>
      </w:divBdr>
    </w:div>
    <w:div w:id="872571740">
      <w:bodyDiv w:val="1"/>
      <w:marLeft w:val="0"/>
      <w:marRight w:val="0"/>
      <w:marTop w:val="0"/>
      <w:marBottom w:val="0"/>
      <w:divBdr>
        <w:top w:val="none" w:sz="0" w:space="0" w:color="auto"/>
        <w:left w:val="none" w:sz="0" w:space="0" w:color="auto"/>
        <w:bottom w:val="none" w:sz="0" w:space="0" w:color="auto"/>
        <w:right w:val="none" w:sz="0" w:space="0" w:color="auto"/>
      </w:divBdr>
    </w:div>
    <w:div w:id="888222256">
      <w:bodyDiv w:val="1"/>
      <w:marLeft w:val="0"/>
      <w:marRight w:val="0"/>
      <w:marTop w:val="0"/>
      <w:marBottom w:val="0"/>
      <w:divBdr>
        <w:top w:val="none" w:sz="0" w:space="0" w:color="auto"/>
        <w:left w:val="none" w:sz="0" w:space="0" w:color="auto"/>
        <w:bottom w:val="none" w:sz="0" w:space="0" w:color="auto"/>
        <w:right w:val="none" w:sz="0" w:space="0" w:color="auto"/>
      </w:divBdr>
    </w:div>
    <w:div w:id="991133482">
      <w:bodyDiv w:val="1"/>
      <w:marLeft w:val="0"/>
      <w:marRight w:val="0"/>
      <w:marTop w:val="0"/>
      <w:marBottom w:val="0"/>
      <w:divBdr>
        <w:top w:val="none" w:sz="0" w:space="0" w:color="auto"/>
        <w:left w:val="none" w:sz="0" w:space="0" w:color="auto"/>
        <w:bottom w:val="none" w:sz="0" w:space="0" w:color="auto"/>
        <w:right w:val="none" w:sz="0" w:space="0" w:color="auto"/>
      </w:divBdr>
    </w:div>
    <w:div w:id="1039476942">
      <w:bodyDiv w:val="1"/>
      <w:marLeft w:val="0"/>
      <w:marRight w:val="0"/>
      <w:marTop w:val="0"/>
      <w:marBottom w:val="0"/>
      <w:divBdr>
        <w:top w:val="none" w:sz="0" w:space="0" w:color="auto"/>
        <w:left w:val="none" w:sz="0" w:space="0" w:color="auto"/>
        <w:bottom w:val="none" w:sz="0" w:space="0" w:color="auto"/>
        <w:right w:val="none" w:sz="0" w:space="0" w:color="auto"/>
      </w:divBdr>
    </w:div>
    <w:div w:id="1040521195">
      <w:bodyDiv w:val="1"/>
      <w:marLeft w:val="0"/>
      <w:marRight w:val="0"/>
      <w:marTop w:val="0"/>
      <w:marBottom w:val="0"/>
      <w:divBdr>
        <w:top w:val="none" w:sz="0" w:space="0" w:color="auto"/>
        <w:left w:val="none" w:sz="0" w:space="0" w:color="auto"/>
        <w:bottom w:val="none" w:sz="0" w:space="0" w:color="auto"/>
        <w:right w:val="none" w:sz="0" w:space="0" w:color="auto"/>
      </w:divBdr>
    </w:div>
    <w:div w:id="1056319907">
      <w:bodyDiv w:val="1"/>
      <w:marLeft w:val="0"/>
      <w:marRight w:val="0"/>
      <w:marTop w:val="0"/>
      <w:marBottom w:val="0"/>
      <w:divBdr>
        <w:top w:val="none" w:sz="0" w:space="0" w:color="auto"/>
        <w:left w:val="none" w:sz="0" w:space="0" w:color="auto"/>
        <w:bottom w:val="none" w:sz="0" w:space="0" w:color="auto"/>
        <w:right w:val="none" w:sz="0" w:space="0" w:color="auto"/>
      </w:divBdr>
    </w:div>
    <w:div w:id="1095125559">
      <w:bodyDiv w:val="1"/>
      <w:marLeft w:val="0"/>
      <w:marRight w:val="0"/>
      <w:marTop w:val="0"/>
      <w:marBottom w:val="0"/>
      <w:divBdr>
        <w:top w:val="none" w:sz="0" w:space="0" w:color="auto"/>
        <w:left w:val="none" w:sz="0" w:space="0" w:color="auto"/>
        <w:bottom w:val="none" w:sz="0" w:space="0" w:color="auto"/>
        <w:right w:val="none" w:sz="0" w:space="0" w:color="auto"/>
      </w:divBdr>
    </w:div>
    <w:div w:id="1185939580">
      <w:bodyDiv w:val="1"/>
      <w:marLeft w:val="0"/>
      <w:marRight w:val="0"/>
      <w:marTop w:val="0"/>
      <w:marBottom w:val="0"/>
      <w:divBdr>
        <w:top w:val="none" w:sz="0" w:space="0" w:color="auto"/>
        <w:left w:val="none" w:sz="0" w:space="0" w:color="auto"/>
        <w:bottom w:val="none" w:sz="0" w:space="0" w:color="auto"/>
        <w:right w:val="none" w:sz="0" w:space="0" w:color="auto"/>
      </w:divBdr>
    </w:div>
    <w:div w:id="1216896718">
      <w:bodyDiv w:val="1"/>
      <w:marLeft w:val="0"/>
      <w:marRight w:val="0"/>
      <w:marTop w:val="0"/>
      <w:marBottom w:val="0"/>
      <w:divBdr>
        <w:top w:val="none" w:sz="0" w:space="0" w:color="auto"/>
        <w:left w:val="none" w:sz="0" w:space="0" w:color="auto"/>
        <w:bottom w:val="none" w:sz="0" w:space="0" w:color="auto"/>
        <w:right w:val="none" w:sz="0" w:space="0" w:color="auto"/>
      </w:divBdr>
    </w:div>
    <w:div w:id="1224174206">
      <w:bodyDiv w:val="1"/>
      <w:marLeft w:val="0"/>
      <w:marRight w:val="0"/>
      <w:marTop w:val="0"/>
      <w:marBottom w:val="0"/>
      <w:divBdr>
        <w:top w:val="none" w:sz="0" w:space="0" w:color="auto"/>
        <w:left w:val="none" w:sz="0" w:space="0" w:color="auto"/>
        <w:bottom w:val="none" w:sz="0" w:space="0" w:color="auto"/>
        <w:right w:val="none" w:sz="0" w:space="0" w:color="auto"/>
      </w:divBdr>
    </w:div>
    <w:div w:id="1236012904">
      <w:bodyDiv w:val="1"/>
      <w:marLeft w:val="0"/>
      <w:marRight w:val="0"/>
      <w:marTop w:val="0"/>
      <w:marBottom w:val="0"/>
      <w:divBdr>
        <w:top w:val="none" w:sz="0" w:space="0" w:color="auto"/>
        <w:left w:val="none" w:sz="0" w:space="0" w:color="auto"/>
        <w:bottom w:val="none" w:sz="0" w:space="0" w:color="auto"/>
        <w:right w:val="none" w:sz="0" w:space="0" w:color="auto"/>
      </w:divBdr>
    </w:div>
    <w:div w:id="1268584584">
      <w:bodyDiv w:val="1"/>
      <w:marLeft w:val="0"/>
      <w:marRight w:val="0"/>
      <w:marTop w:val="0"/>
      <w:marBottom w:val="0"/>
      <w:divBdr>
        <w:top w:val="none" w:sz="0" w:space="0" w:color="auto"/>
        <w:left w:val="none" w:sz="0" w:space="0" w:color="auto"/>
        <w:bottom w:val="none" w:sz="0" w:space="0" w:color="auto"/>
        <w:right w:val="none" w:sz="0" w:space="0" w:color="auto"/>
      </w:divBdr>
    </w:div>
    <w:div w:id="1278096993">
      <w:bodyDiv w:val="1"/>
      <w:marLeft w:val="0"/>
      <w:marRight w:val="0"/>
      <w:marTop w:val="0"/>
      <w:marBottom w:val="0"/>
      <w:divBdr>
        <w:top w:val="none" w:sz="0" w:space="0" w:color="auto"/>
        <w:left w:val="none" w:sz="0" w:space="0" w:color="auto"/>
        <w:bottom w:val="none" w:sz="0" w:space="0" w:color="auto"/>
        <w:right w:val="none" w:sz="0" w:space="0" w:color="auto"/>
      </w:divBdr>
    </w:div>
    <w:div w:id="1301836471">
      <w:bodyDiv w:val="1"/>
      <w:marLeft w:val="0"/>
      <w:marRight w:val="0"/>
      <w:marTop w:val="0"/>
      <w:marBottom w:val="0"/>
      <w:divBdr>
        <w:top w:val="none" w:sz="0" w:space="0" w:color="auto"/>
        <w:left w:val="none" w:sz="0" w:space="0" w:color="auto"/>
        <w:bottom w:val="none" w:sz="0" w:space="0" w:color="auto"/>
        <w:right w:val="none" w:sz="0" w:space="0" w:color="auto"/>
      </w:divBdr>
    </w:div>
    <w:div w:id="1311055177">
      <w:bodyDiv w:val="1"/>
      <w:marLeft w:val="0"/>
      <w:marRight w:val="0"/>
      <w:marTop w:val="0"/>
      <w:marBottom w:val="0"/>
      <w:divBdr>
        <w:top w:val="none" w:sz="0" w:space="0" w:color="auto"/>
        <w:left w:val="none" w:sz="0" w:space="0" w:color="auto"/>
        <w:bottom w:val="none" w:sz="0" w:space="0" w:color="auto"/>
        <w:right w:val="none" w:sz="0" w:space="0" w:color="auto"/>
      </w:divBdr>
    </w:div>
    <w:div w:id="1409496307">
      <w:bodyDiv w:val="1"/>
      <w:marLeft w:val="0"/>
      <w:marRight w:val="0"/>
      <w:marTop w:val="0"/>
      <w:marBottom w:val="0"/>
      <w:divBdr>
        <w:top w:val="none" w:sz="0" w:space="0" w:color="auto"/>
        <w:left w:val="none" w:sz="0" w:space="0" w:color="auto"/>
        <w:bottom w:val="none" w:sz="0" w:space="0" w:color="auto"/>
        <w:right w:val="none" w:sz="0" w:space="0" w:color="auto"/>
      </w:divBdr>
    </w:div>
    <w:div w:id="1476334108">
      <w:bodyDiv w:val="1"/>
      <w:marLeft w:val="0"/>
      <w:marRight w:val="0"/>
      <w:marTop w:val="0"/>
      <w:marBottom w:val="0"/>
      <w:divBdr>
        <w:top w:val="none" w:sz="0" w:space="0" w:color="auto"/>
        <w:left w:val="none" w:sz="0" w:space="0" w:color="auto"/>
        <w:bottom w:val="none" w:sz="0" w:space="0" w:color="auto"/>
        <w:right w:val="none" w:sz="0" w:space="0" w:color="auto"/>
      </w:divBdr>
    </w:div>
    <w:div w:id="1527216079">
      <w:bodyDiv w:val="1"/>
      <w:marLeft w:val="0"/>
      <w:marRight w:val="0"/>
      <w:marTop w:val="0"/>
      <w:marBottom w:val="0"/>
      <w:divBdr>
        <w:top w:val="none" w:sz="0" w:space="0" w:color="auto"/>
        <w:left w:val="none" w:sz="0" w:space="0" w:color="auto"/>
        <w:bottom w:val="none" w:sz="0" w:space="0" w:color="auto"/>
        <w:right w:val="none" w:sz="0" w:space="0" w:color="auto"/>
      </w:divBdr>
    </w:div>
    <w:div w:id="1527908198">
      <w:bodyDiv w:val="1"/>
      <w:marLeft w:val="0"/>
      <w:marRight w:val="0"/>
      <w:marTop w:val="0"/>
      <w:marBottom w:val="0"/>
      <w:divBdr>
        <w:top w:val="none" w:sz="0" w:space="0" w:color="auto"/>
        <w:left w:val="none" w:sz="0" w:space="0" w:color="auto"/>
        <w:bottom w:val="none" w:sz="0" w:space="0" w:color="auto"/>
        <w:right w:val="none" w:sz="0" w:space="0" w:color="auto"/>
      </w:divBdr>
    </w:div>
    <w:div w:id="1656838221">
      <w:bodyDiv w:val="1"/>
      <w:marLeft w:val="0"/>
      <w:marRight w:val="0"/>
      <w:marTop w:val="0"/>
      <w:marBottom w:val="0"/>
      <w:divBdr>
        <w:top w:val="none" w:sz="0" w:space="0" w:color="auto"/>
        <w:left w:val="none" w:sz="0" w:space="0" w:color="auto"/>
        <w:bottom w:val="none" w:sz="0" w:space="0" w:color="auto"/>
        <w:right w:val="none" w:sz="0" w:space="0" w:color="auto"/>
      </w:divBdr>
    </w:div>
    <w:div w:id="1697921126">
      <w:bodyDiv w:val="1"/>
      <w:marLeft w:val="0"/>
      <w:marRight w:val="0"/>
      <w:marTop w:val="0"/>
      <w:marBottom w:val="0"/>
      <w:divBdr>
        <w:top w:val="none" w:sz="0" w:space="0" w:color="auto"/>
        <w:left w:val="none" w:sz="0" w:space="0" w:color="auto"/>
        <w:bottom w:val="none" w:sz="0" w:space="0" w:color="auto"/>
        <w:right w:val="none" w:sz="0" w:space="0" w:color="auto"/>
      </w:divBdr>
    </w:div>
    <w:div w:id="1708795995">
      <w:bodyDiv w:val="1"/>
      <w:marLeft w:val="0"/>
      <w:marRight w:val="0"/>
      <w:marTop w:val="0"/>
      <w:marBottom w:val="0"/>
      <w:divBdr>
        <w:top w:val="none" w:sz="0" w:space="0" w:color="auto"/>
        <w:left w:val="none" w:sz="0" w:space="0" w:color="auto"/>
        <w:bottom w:val="none" w:sz="0" w:space="0" w:color="auto"/>
        <w:right w:val="none" w:sz="0" w:space="0" w:color="auto"/>
      </w:divBdr>
    </w:div>
    <w:div w:id="1770809706">
      <w:bodyDiv w:val="1"/>
      <w:marLeft w:val="0"/>
      <w:marRight w:val="0"/>
      <w:marTop w:val="0"/>
      <w:marBottom w:val="0"/>
      <w:divBdr>
        <w:top w:val="none" w:sz="0" w:space="0" w:color="auto"/>
        <w:left w:val="none" w:sz="0" w:space="0" w:color="auto"/>
        <w:bottom w:val="none" w:sz="0" w:space="0" w:color="auto"/>
        <w:right w:val="none" w:sz="0" w:space="0" w:color="auto"/>
      </w:divBdr>
    </w:div>
    <w:div w:id="1788351623">
      <w:bodyDiv w:val="1"/>
      <w:marLeft w:val="0"/>
      <w:marRight w:val="0"/>
      <w:marTop w:val="0"/>
      <w:marBottom w:val="0"/>
      <w:divBdr>
        <w:top w:val="none" w:sz="0" w:space="0" w:color="auto"/>
        <w:left w:val="none" w:sz="0" w:space="0" w:color="auto"/>
        <w:bottom w:val="none" w:sz="0" w:space="0" w:color="auto"/>
        <w:right w:val="none" w:sz="0" w:space="0" w:color="auto"/>
      </w:divBdr>
    </w:div>
    <w:div w:id="1792243579">
      <w:bodyDiv w:val="1"/>
      <w:marLeft w:val="0"/>
      <w:marRight w:val="0"/>
      <w:marTop w:val="0"/>
      <w:marBottom w:val="0"/>
      <w:divBdr>
        <w:top w:val="none" w:sz="0" w:space="0" w:color="auto"/>
        <w:left w:val="none" w:sz="0" w:space="0" w:color="auto"/>
        <w:bottom w:val="none" w:sz="0" w:space="0" w:color="auto"/>
        <w:right w:val="none" w:sz="0" w:space="0" w:color="auto"/>
      </w:divBdr>
    </w:div>
    <w:div w:id="1907186094">
      <w:bodyDiv w:val="1"/>
      <w:marLeft w:val="0"/>
      <w:marRight w:val="0"/>
      <w:marTop w:val="0"/>
      <w:marBottom w:val="0"/>
      <w:divBdr>
        <w:top w:val="none" w:sz="0" w:space="0" w:color="auto"/>
        <w:left w:val="none" w:sz="0" w:space="0" w:color="auto"/>
        <w:bottom w:val="none" w:sz="0" w:space="0" w:color="auto"/>
        <w:right w:val="none" w:sz="0" w:space="0" w:color="auto"/>
      </w:divBdr>
    </w:div>
    <w:div w:id="1953585958">
      <w:bodyDiv w:val="1"/>
      <w:marLeft w:val="0"/>
      <w:marRight w:val="0"/>
      <w:marTop w:val="0"/>
      <w:marBottom w:val="0"/>
      <w:divBdr>
        <w:top w:val="none" w:sz="0" w:space="0" w:color="auto"/>
        <w:left w:val="none" w:sz="0" w:space="0" w:color="auto"/>
        <w:bottom w:val="none" w:sz="0" w:space="0" w:color="auto"/>
        <w:right w:val="none" w:sz="0" w:space="0" w:color="auto"/>
      </w:divBdr>
    </w:div>
    <w:div w:id="1975595452">
      <w:bodyDiv w:val="1"/>
      <w:marLeft w:val="0"/>
      <w:marRight w:val="0"/>
      <w:marTop w:val="0"/>
      <w:marBottom w:val="0"/>
      <w:divBdr>
        <w:top w:val="none" w:sz="0" w:space="0" w:color="auto"/>
        <w:left w:val="none" w:sz="0" w:space="0" w:color="auto"/>
        <w:bottom w:val="none" w:sz="0" w:space="0" w:color="auto"/>
        <w:right w:val="none" w:sz="0" w:space="0" w:color="auto"/>
      </w:divBdr>
    </w:div>
    <w:div w:id="2017417403">
      <w:bodyDiv w:val="1"/>
      <w:marLeft w:val="0"/>
      <w:marRight w:val="0"/>
      <w:marTop w:val="0"/>
      <w:marBottom w:val="0"/>
      <w:divBdr>
        <w:top w:val="none" w:sz="0" w:space="0" w:color="auto"/>
        <w:left w:val="none" w:sz="0" w:space="0" w:color="auto"/>
        <w:bottom w:val="none" w:sz="0" w:space="0" w:color="auto"/>
        <w:right w:val="none" w:sz="0" w:space="0" w:color="auto"/>
      </w:divBdr>
    </w:div>
    <w:div w:id="2035497737">
      <w:bodyDiv w:val="1"/>
      <w:marLeft w:val="0"/>
      <w:marRight w:val="0"/>
      <w:marTop w:val="0"/>
      <w:marBottom w:val="0"/>
      <w:divBdr>
        <w:top w:val="none" w:sz="0" w:space="0" w:color="auto"/>
        <w:left w:val="none" w:sz="0" w:space="0" w:color="auto"/>
        <w:bottom w:val="none" w:sz="0" w:space="0" w:color="auto"/>
        <w:right w:val="none" w:sz="0" w:space="0" w:color="auto"/>
      </w:divBdr>
    </w:div>
    <w:div w:id="2046639808">
      <w:bodyDiv w:val="1"/>
      <w:marLeft w:val="0"/>
      <w:marRight w:val="0"/>
      <w:marTop w:val="0"/>
      <w:marBottom w:val="0"/>
      <w:divBdr>
        <w:top w:val="none" w:sz="0" w:space="0" w:color="auto"/>
        <w:left w:val="none" w:sz="0" w:space="0" w:color="auto"/>
        <w:bottom w:val="none" w:sz="0" w:space="0" w:color="auto"/>
        <w:right w:val="none" w:sz="0" w:space="0" w:color="auto"/>
      </w:divBdr>
    </w:div>
    <w:div w:id="2089039480">
      <w:bodyDiv w:val="1"/>
      <w:marLeft w:val="0"/>
      <w:marRight w:val="0"/>
      <w:marTop w:val="0"/>
      <w:marBottom w:val="0"/>
      <w:divBdr>
        <w:top w:val="none" w:sz="0" w:space="0" w:color="auto"/>
        <w:left w:val="none" w:sz="0" w:space="0" w:color="auto"/>
        <w:bottom w:val="none" w:sz="0" w:space="0" w:color="auto"/>
        <w:right w:val="none" w:sz="0" w:space="0" w:color="auto"/>
      </w:divBdr>
    </w:div>
    <w:div w:id="2100978725">
      <w:bodyDiv w:val="1"/>
      <w:marLeft w:val="0"/>
      <w:marRight w:val="0"/>
      <w:marTop w:val="0"/>
      <w:marBottom w:val="0"/>
      <w:divBdr>
        <w:top w:val="none" w:sz="0" w:space="0" w:color="auto"/>
        <w:left w:val="none" w:sz="0" w:space="0" w:color="auto"/>
        <w:bottom w:val="none" w:sz="0" w:space="0" w:color="auto"/>
        <w:right w:val="none" w:sz="0" w:space="0" w:color="auto"/>
      </w:divBdr>
    </w:div>
    <w:div w:id="21088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publications/global-risks-report-2024/dige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366B679DFB4D69B613476E43C82B23"/>
        <w:category>
          <w:name w:val="General"/>
          <w:gallery w:val="placeholder"/>
        </w:category>
        <w:types>
          <w:type w:val="bbPlcHdr"/>
        </w:types>
        <w:behaviors>
          <w:behavior w:val="content"/>
        </w:behaviors>
        <w:guid w:val="{98960DDB-BAB6-4A80-A516-57732FD4BB2F}"/>
      </w:docPartPr>
      <w:docPartBody>
        <w:p w:rsidR="006429FD" w:rsidRDefault="006429FD">
          <w:pPr>
            <w:pStyle w:val="C0366B679DFB4D69B613476E43C82B23"/>
          </w:pPr>
          <w:r w:rsidRPr="004200AF">
            <w:rPr>
              <w:rStyle w:val="PlaceholderText"/>
            </w:rPr>
            <w:t>Click here to enter text.</w:t>
          </w:r>
        </w:p>
      </w:docPartBody>
    </w:docPart>
    <w:docPart>
      <w:docPartPr>
        <w:name w:val="3B50AC6B8C6C42FB9AA410A0EF3C9383"/>
        <w:category>
          <w:name w:val="General"/>
          <w:gallery w:val="placeholder"/>
        </w:category>
        <w:types>
          <w:type w:val="bbPlcHdr"/>
        </w:types>
        <w:behaviors>
          <w:behavior w:val="content"/>
        </w:behaviors>
        <w:guid w:val="{E35A38F5-AD0F-4B51-8567-7DE8B756C746}"/>
      </w:docPartPr>
      <w:docPartBody>
        <w:p w:rsidR="006429FD" w:rsidRDefault="006429FD">
          <w:pPr>
            <w:pStyle w:val="3B50AC6B8C6C42FB9AA410A0EF3C9383"/>
          </w:pPr>
          <w:r w:rsidRPr="00BA476D">
            <w:rPr>
              <w:rStyle w:val="FieldHeadingsField"/>
            </w:rPr>
            <w:t>Click here to enter text.</w:t>
          </w:r>
        </w:p>
      </w:docPartBody>
    </w:docPart>
    <w:docPart>
      <w:docPartPr>
        <w:name w:val="1A2378EAA72E4A3AA544D4AA144F100A"/>
        <w:category>
          <w:name w:val="General"/>
          <w:gallery w:val="placeholder"/>
        </w:category>
        <w:types>
          <w:type w:val="bbPlcHdr"/>
        </w:types>
        <w:behaviors>
          <w:behavior w:val="content"/>
        </w:behaviors>
        <w:guid w:val="{9256ECC4-381C-42FC-B504-0ED76D6A4754}"/>
      </w:docPartPr>
      <w:docPartBody>
        <w:p w:rsidR="006429FD" w:rsidRDefault="006429FD">
          <w:pPr>
            <w:pStyle w:val="1A2378EAA72E4A3AA544D4AA144F100A"/>
          </w:pPr>
          <w:r w:rsidRPr="00BA476D">
            <w:rPr>
              <w:rStyle w:val="FieldHeadingsField"/>
            </w:rPr>
            <w:t>Click here to enter text.</w:t>
          </w:r>
        </w:p>
      </w:docPartBody>
    </w:docPart>
    <w:docPart>
      <w:docPartPr>
        <w:name w:val="45032A72C15C4A218CDCADBFBE824594"/>
        <w:category>
          <w:name w:val="General"/>
          <w:gallery w:val="placeholder"/>
        </w:category>
        <w:types>
          <w:type w:val="bbPlcHdr"/>
        </w:types>
        <w:behaviors>
          <w:behavior w:val="content"/>
        </w:behaviors>
        <w:guid w:val="{427D89CD-A7FC-4E8D-94E4-E35B07ABB666}"/>
      </w:docPartPr>
      <w:docPartBody>
        <w:p w:rsidR="006429FD" w:rsidRDefault="006429FD">
          <w:pPr>
            <w:pStyle w:val="45032A72C15C4A218CDCADBFBE824594"/>
          </w:pPr>
          <w:r w:rsidRPr="00BA476D">
            <w:rPr>
              <w:rStyle w:val="FieldHeadingsField"/>
            </w:rPr>
            <w:t>Click here to enter text.</w:t>
          </w:r>
        </w:p>
      </w:docPartBody>
    </w:docPart>
    <w:docPart>
      <w:docPartPr>
        <w:name w:val="E7D235B2F2E349E1A36C8A7DBCA6C68E"/>
        <w:category>
          <w:name w:val="General"/>
          <w:gallery w:val="placeholder"/>
        </w:category>
        <w:types>
          <w:type w:val="bbPlcHdr"/>
        </w:types>
        <w:behaviors>
          <w:behavior w:val="content"/>
        </w:behaviors>
        <w:guid w:val="{800E0FE5-D32A-42EF-81E0-C653246B3200}"/>
      </w:docPartPr>
      <w:docPartBody>
        <w:p w:rsidR="006429FD" w:rsidRDefault="006429FD">
          <w:pPr>
            <w:pStyle w:val="E7D235B2F2E349E1A36C8A7DBCA6C68E"/>
          </w:pPr>
          <w:r w:rsidRPr="00BA476D">
            <w:rPr>
              <w:rStyle w:val="FieldHeadingsFiel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FD"/>
    <w:rsid w:val="000718A7"/>
    <w:rsid w:val="000D0B6B"/>
    <w:rsid w:val="000D2103"/>
    <w:rsid w:val="000D7C52"/>
    <w:rsid w:val="000F7F7D"/>
    <w:rsid w:val="00164CF1"/>
    <w:rsid w:val="002631A3"/>
    <w:rsid w:val="00293C6B"/>
    <w:rsid w:val="0032504B"/>
    <w:rsid w:val="00336EC4"/>
    <w:rsid w:val="003904D0"/>
    <w:rsid w:val="004027B9"/>
    <w:rsid w:val="00413707"/>
    <w:rsid w:val="00435071"/>
    <w:rsid w:val="0044583E"/>
    <w:rsid w:val="00494C1B"/>
    <w:rsid w:val="004C58F1"/>
    <w:rsid w:val="005237E5"/>
    <w:rsid w:val="005259F0"/>
    <w:rsid w:val="005E33F9"/>
    <w:rsid w:val="005F795D"/>
    <w:rsid w:val="00622DFD"/>
    <w:rsid w:val="006429FD"/>
    <w:rsid w:val="006839D3"/>
    <w:rsid w:val="0068556D"/>
    <w:rsid w:val="007865F8"/>
    <w:rsid w:val="007A0ACB"/>
    <w:rsid w:val="007C4137"/>
    <w:rsid w:val="007C661E"/>
    <w:rsid w:val="007F4FA9"/>
    <w:rsid w:val="00880376"/>
    <w:rsid w:val="008838B0"/>
    <w:rsid w:val="008C6DCE"/>
    <w:rsid w:val="008E06D1"/>
    <w:rsid w:val="008E6235"/>
    <w:rsid w:val="008F213E"/>
    <w:rsid w:val="00932CC8"/>
    <w:rsid w:val="00954ECA"/>
    <w:rsid w:val="00974567"/>
    <w:rsid w:val="0099263B"/>
    <w:rsid w:val="009B3571"/>
    <w:rsid w:val="00A66865"/>
    <w:rsid w:val="00A73BCB"/>
    <w:rsid w:val="00AB0961"/>
    <w:rsid w:val="00AC2BB0"/>
    <w:rsid w:val="00AD1264"/>
    <w:rsid w:val="00B10771"/>
    <w:rsid w:val="00B61F1B"/>
    <w:rsid w:val="00B6420D"/>
    <w:rsid w:val="00B742AE"/>
    <w:rsid w:val="00BB06AF"/>
    <w:rsid w:val="00BD19AD"/>
    <w:rsid w:val="00BE3DB8"/>
    <w:rsid w:val="00BF3FB2"/>
    <w:rsid w:val="00C01E0C"/>
    <w:rsid w:val="00C56704"/>
    <w:rsid w:val="00C94CEB"/>
    <w:rsid w:val="00CD3D0B"/>
    <w:rsid w:val="00D1512B"/>
    <w:rsid w:val="00D43F49"/>
    <w:rsid w:val="00E3452C"/>
    <w:rsid w:val="00E36EC3"/>
    <w:rsid w:val="00E761DA"/>
    <w:rsid w:val="00EA68E3"/>
    <w:rsid w:val="00EC3B26"/>
    <w:rsid w:val="00F85521"/>
    <w:rsid w:val="00F935EA"/>
    <w:rsid w:val="00F9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366B679DFB4D69B613476E43C82B23">
    <w:name w:val="C0366B679DFB4D69B613476E43C82B23"/>
  </w:style>
  <w:style w:type="character" w:customStyle="1" w:styleId="FieldHeadingsField">
    <w:name w:val="Field Headings Field"/>
    <w:basedOn w:val="DefaultParagraphFont"/>
    <w:uiPriority w:val="1"/>
    <w:rPr>
      <w:rFonts w:ascii="Arial" w:hAnsi="Arial"/>
      <w:b/>
      <w:sz w:val="24"/>
      <w:lang w:eastAsia="en-US"/>
    </w:rPr>
  </w:style>
  <w:style w:type="paragraph" w:customStyle="1" w:styleId="2A0F1BDEFBEF48D5878E8253DC13EEC9">
    <w:name w:val="2A0F1BDEFBEF48D5878E8253DC13EEC9"/>
  </w:style>
  <w:style w:type="paragraph" w:customStyle="1" w:styleId="3B50AC6B8C6C42FB9AA410A0EF3C9383">
    <w:name w:val="3B50AC6B8C6C42FB9AA410A0EF3C9383"/>
  </w:style>
  <w:style w:type="paragraph" w:customStyle="1" w:styleId="1A2378EAA72E4A3AA544D4AA144F100A">
    <w:name w:val="1A2378EAA72E4A3AA544D4AA144F100A"/>
  </w:style>
  <w:style w:type="paragraph" w:customStyle="1" w:styleId="45032A72C15C4A218CDCADBFBE824594">
    <w:name w:val="45032A72C15C4A218CDCADBFBE824594"/>
  </w:style>
  <w:style w:type="paragraph" w:customStyle="1" w:styleId="E7D235B2F2E349E1A36C8A7DBCA6C68E">
    <w:name w:val="E7D235B2F2E349E1A36C8A7DBCA6C68E"/>
  </w:style>
  <w:style w:type="paragraph" w:customStyle="1" w:styleId="44E021F6FC8A4E89BF3E5CEF452816C4">
    <w:name w:val="44E021F6FC8A4E89BF3E5CEF452816C4"/>
    <w:rsid w:val="00642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054B-963A-407F-AE13-5BB81318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4616</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Janes, Debbie</dc:creator>
  <cp:lastModifiedBy>Vasisht, Kanchan</cp:lastModifiedBy>
  <cp:revision>5</cp:revision>
  <cp:lastPrinted>2017-01-31T16:55:00Z</cp:lastPrinted>
  <dcterms:created xsi:type="dcterms:W3CDTF">2024-03-06T12:20:00Z</dcterms:created>
  <dcterms:modified xsi:type="dcterms:W3CDTF">2024-03-06T12:31:00Z</dcterms:modified>
</cp:coreProperties>
</file>