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1C7161" w14:paraId="765D3A91" w14:textId="77777777" w:rsidTr="00010C67">
        <w:tc>
          <w:tcPr>
            <w:tcW w:w="2547" w:type="dxa"/>
          </w:tcPr>
          <w:p w14:paraId="1BA2C923" w14:textId="77777777" w:rsidR="001C7161" w:rsidRPr="009E2F53" w:rsidRDefault="00010C67" w:rsidP="001C7161">
            <w:pPr>
              <w:rPr>
                <w:b/>
              </w:rPr>
            </w:pPr>
            <w:r>
              <w:rPr>
                <w:b/>
              </w:rPr>
              <w:t>Directorate</w:t>
            </w:r>
          </w:p>
        </w:tc>
        <w:tc>
          <w:tcPr>
            <w:tcW w:w="6469" w:type="dxa"/>
          </w:tcPr>
          <w:p w14:paraId="4F0B0F77" w14:textId="77777777" w:rsidR="001C7161" w:rsidRPr="00ED4EA8" w:rsidRDefault="00C70FF4" w:rsidP="001C7161">
            <w:r w:rsidRPr="00ED4EA8">
              <w:t>Children, Families &amp; Education</w:t>
            </w:r>
          </w:p>
        </w:tc>
      </w:tr>
      <w:tr w:rsidR="00A2383B" w14:paraId="0BF04835" w14:textId="77777777" w:rsidTr="00010C67">
        <w:trPr>
          <w:trHeight w:val="277"/>
        </w:trPr>
        <w:tc>
          <w:tcPr>
            <w:tcW w:w="2547" w:type="dxa"/>
          </w:tcPr>
          <w:p w14:paraId="719CD3EB" w14:textId="77777777" w:rsidR="00A2383B" w:rsidRDefault="00A2383B" w:rsidP="001C7161">
            <w:pPr>
              <w:rPr>
                <w:b/>
              </w:rPr>
            </w:pPr>
            <w:r>
              <w:rPr>
                <w:b/>
              </w:rPr>
              <w:t>Combined Tracker Ref.</w:t>
            </w:r>
          </w:p>
        </w:tc>
        <w:tc>
          <w:tcPr>
            <w:tcW w:w="6469" w:type="dxa"/>
          </w:tcPr>
          <w:p w14:paraId="287AD955" w14:textId="77777777" w:rsidR="00A2383B" w:rsidRPr="00ED4EA8" w:rsidRDefault="00A2383B" w:rsidP="001C7161"/>
        </w:tc>
      </w:tr>
      <w:tr w:rsidR="001C7161" w14:paraId="33629615" w14:textId="77777777" w:rsidTr="00010C67">
        <w:trPr>
          <w:trHeight w:val="277"/>
        </w:trPr>
        <w:tc>
          <w:tcPr>
            <w:tcW w:w="2547" w:type="dxa"/>
          </w:tcPr>
          <w:p w14:paraId="1C0EC0D2" w14:textId="77777777" w:rsidR="001C7161" w:rsidRPr="009E2F53" w:rsidRDefault="00010C67" w:rsidP="001C7161">
            <w:pPr>
              <w:rPr>
                <w:b/>
              </w:rPr>
            </w:pPr>
            <w:r>
              <w:rPr>
                <w:b/>
              </w:rPr>
              <w:t>Service Director</w:t>
            </w:r>
          </w:p>
        </w:tc>
        <w:tc>
          <w:tcPr>
            <w:tcW w:w="6469" w:type="dxa"/>
          </w:tcPr>
          <w:p w14:paraId="7D07E82A" w14:textId="77777777" w:rsidR="001C7161" w:rsidRPr="00ED4EA8" w:rsidRDefault="00073FBC" w:rsidP="001C7161">
            <w:r>
              <w:t xml:space="preserve">Teresa/Hills &amp; </w:t>
            </w:r>
            <w:r w:rsidR="00172B19">
              <w:t>Teresa Gallagher</w:t>
            </w:r>
          </w:p>
        </w:tc>
      </w:tr>
      <w:tr w:rsidR="001C7161" w14:paraId="3C8C17C9" w14:textId="77777777" w:rsidTr="00010C67">
        <w:tc>
          <w:tcPr>
            <w:tcW w:w="2547" w:type="dxa"/>
          </w:tcPr>
          <w:p w14:paraId="68248329" w14:textId="77777777" w:rsidR="001C7161" w:rsidRPr="009E2F53" w:rsidRDefault="00010C67" w:rsidP="001C7161">
            <w:pPr>
              <w:rPr>
                <w:b/>
              </w:rPr>
            </w:pPr>
            <w:r>
              <w:rPr>
                <w:b/>
              </w:rPr>
              <w:t>Service Area</w:t>
            </w:r>
          </w:p>
        </w:tc>
        <w:tc>
          <w:tcPr>
            <w:tcW w:w="6469" w:type="dxa"/>
          </w:tcPr>
          <w:p w14:paraId="5BC8AC6F" w14:textId="77777777" w:rsidR="001C7161" w:rsidRPr="00ED4EA8" w:rsidRDefault="00073FBC" w:rsidP="001C7161">
            <w:r>
              <w:t>Children’s Placements</w:t>
            </w:r>
          </w:p>
        </w:tc>
      </w:tr>
      <w:tr w:rsidR="001C7161" w14:paraId="513419FD" w14:textId="77777777" w:rsidTr="00010C67">
        <w:trPr>
          <w:trHeight w:val="276"/>
        </w:trPr>
        <w:tc>
          <w:tcPr>
            <w:tcW w:w="2547" w:type="dxa"/>
          </w:tcPr>
          <w:p w14:paraId="65793E5A" w14:textId="77777777" w:rsidR="001C7161" w:rsidRPr="009E2F53" w:rsidRDefault="00010C67" w:rsidP="001C7161">
            <w:pPr>
              <w:rPr>
                <w:b/>
              </w:rPr>
            </w:pPr>
            <w:r>
              <w:rPr>
                <w:b/>
              </w:rPr>
              <w:t>Service Manager</w:t>
            </w:r>
          </w:p>
        </w:tc>
        <w:tc>
          <w:tcPr>
            <w:tcW w:w="6469" w:type="dxa"/>
          </w:tcPr>
          <w:p w14:paraId="7759F5B5" w14:textId="77777777" w:rsidR="001C7161" w:rsidRPr="00ED4EA8" w:rsidRDefault="001C7161" w:rsidP="00BA1B84"/>
        </w:tc>
      </w:tr>
      <w:tr w:rsidR="009B234A" w14:paraId="75B3F94E" w14:textId="77777777" w:rsidTr="00010C67">
        <w:trPr>
          <w:trHeight w:val="276"/>
        </w:trPr>
        <w:tc>
          <w:tcPr>
            <w:tcW w:w="2547" w:type="dxa"/>
          </w:tcPr>
          <w:p w14:paraId="56D5D4DA" w14:textId="77777777" w:rsidR="009B234A" w:rsidRDefault="009B234A" w:rsidP="001C7161">
            <w:pPr>
              <w:rPr>
                <w:b/>
              </w:rPr>
            </w:pPr>
            <w:r>
              <w:rPr>
                <w:b/>
              </w:rPr>
              <w:t>Activity/Cost centres</w:t>
            </w:r>
          </w:p>
        </w:tc>
        <w:tc>
          <w:tcPr>
            <w:tcW w:w="6469" w:type="dxa"/>
          </w:tcPr>
          <w:p w14:paraId="64539625" w14:textId="77777777" w:rsidR="009B234A" w:rsidRPr="00ED4EA8" w:rsidRDefault="0022635D" w:rsidP="00073FBC">
            <w:r>
              <w:t xml:space="preserve">All </w:t>
            </w:r>
            <w:r w:rsidR="00073FBC">
              <w:t>Placements Cost Centres</w:t>
            </w:r>
          </w:p>
        </w:tc>
      </w:tr>
      <w:tr w:rsidR="009B234A" w14:paraId="2A3D079F" w14:textId="77777777" w:rsidTr="00010C67">
        <w:trPr>
          <w:trHeight w:val="276"/>
        </w:trPr>
        <w:tc>
          <w:tcPr>
            <w:tcW w:w="2547" w:type="dxa"/>
          </w:tcPr>
          <w:p w14:paraId="14702CCF" w14:textId="77777777" w:rsidR="009B234A" w:rsidRDefault="009B234A" w:rsidP="001C7161">
            <w:pPr>
              <w:rPr>
                <w:b/>
              </w:rPr>
            </w:pPr>
            <w:r>
              <w:rPr>
                <w:b/>
              </w:rPr>
              <w:t>22/23 Budget £’000</w:t>
            </w:r>
          </w:p>
        </w:tc>
        <w:tc>
          <w:tcPr>
            <w:tcW w:w="6469" w:type="dxa"/>
          </w:tcPr>
          <w:p w14:paraId="2E73C443" w14:textId="77777777" w:rsidR="009B234A" w:rsidRPr="00ED4EA8" w:rsidRDefault="00073FBC" w:rsidP="00977111">
            <w:r>
              <w:t>18,473</w:t>
            </w:r>
          </w:p>
        </w:tc>
      </w:tr>
      <w:tr w:rsidR="009B234A" w14:paraId="214B67B1" w14:textId="77777777" w:rsidTr="00010C67">
        <w:trPr>
          <w:trHeight w:val="276"/>
        </w:trPr>
        <w:tc>
          <w:tcPr>
            <w:tcW w:w="2547" w:type="dxa"/>
          </w:tcPr>
          <w:p w14:paraId="025A2AF8" w14:textId="77777777" w:rsidR="009B234A" w:rsidRDefault="009B234A" w:rsidP="001C7161">
            <w:pPr>
              <w:rPr>
                <w:b/>
              </w:rPr>
            </w:pPr>
            <w:r>
              <w:rPr>
                <w:b/>
              </w:rPr>
              <w:t>22/23 Outturn £’000</w:t>
            </w:r>
          </w:p>
        </w:tc>
        <w:tc>
          <w:tcPr>
            <w:tcW w:w="6469" w:type="dxa"/>
          </w:tcPr>
          <w:p w14:paraId="582F1527" w14:textId="77777777" w:rsidR="009B234A" w:rsidRPr="00ED4EA8" w:rsidRDefault="00073FBC" w:rsidP="00977111">
            <w:r>
              <w:t>18,839</w:t>
            </w:r>
          </w:p>
        </w:tc>
      </w:tr>
      <w:tr w:rsidR="009B234A" w14:paraId="24DCDF0A" w14:textId="77777777" w:rsidTr="00010C67">
        <w:trPr>
          <w:trHeight w:val="276"/>
        </w:trPr>
        <w:tc>
          <w:tcPr>
            <w:tcW w:w="2547" w:type="dxa"/>
          </w:tcPr>
          <w:p w14:paraId="64D5B8B5" w14:textId="77777777" w:rsidR="009B234A" w:rsidRDefault="009B234A" w:rsidP="001C7161">
            <w:pPr>
              <w:rPr>
                <w:b/>
              </w:rPr>
            </w:pPr>
            <w:r>
              <w:rPr>
                <w:b/>
              </w:rPr>
              <w:t>23/24 Budget £’000</w:t>
            </w:r>
          </w:p>
        </w:tc>
        <w:tc>
          <w:tcPr>
            <w:tcW w:w="6469" w:type="dxa"/>
          </w:tcPr>
          <w:p w14:paraId="761BD590" w14:textId="77777777" w:rsidR="009B234A" w:rsidRPr="00ED4EA8" w:rsidRDefault="00073FBC" w:rsidP="00F30F79">
            <w:r>
              <w:t>20,008</w:t>
            </w:r>
          </w:p>
        </w:tc>
      </w:tr>
      <w:tr w:rsidR="00010C67" w14:paraId="30D0C90B" w14:textId="77777777" w:rsidTr="00010C67">
        <w:trPr>
          <w:trHeight w:val="276"/>
        </w:trPr>
        <w:tc>
          <w:tcPr>
            <w:tcW w:w="2547" w:type="dxa"/>
          </w:tcPr>
          <w:p w14:paraId="4865417F" w14:textId="77777777" w:rsidR="00010C67" w:rsidRDefault="009B234A" w:rsidP="001C7161">
            <w:pPr>
              <w:rPr>
                <w:b/>
              </w:rPr>
            </w:pPr>
            <w:r>
              <w:rPr>
                <w:b/>
              </w:rPr>
              <w:t>Pressure on this activity in 23/24</w:t>
            </w:r>
            <w:r w:rsidR="00010C67">
              <w:rPr>
                <w:b/>
              </w:rPr>
              <w:t xml:space="preserve"> </w:t>
            </w:r>
            <w:r>
              <w:rPr>
                <w:b/>
              </w:rPr>
              <w:t xml:space="preserve">(based on 22/23 outturn) </w:t>
            </w:r>
            <w:r w:rsidR="00010C67">
              <w:rPr>
                <w:b/>
              </w:rPr>
              <w:t>£’000</w:t>
            </w:r>
          </w:p>
        </w:tc>
        <w:tc>
          <w:tcPr>
            <w:tcW w:w="6469" w:type="dxa"/>
          </w:tcPr>
          <w:p w14:paraId="6F8E8E2F" w14:textId="31E64A1A" w:rsidR="00010C67" w:rsidRDefault="00073FBC" w:rsidP="00C84036">
            <w:pPr>
              <w:pStyle w:val="ListParagraph"/>
              <w:numPr>
                <w:ilvl w:val="0"/>
                <w:numId w:val="11"/>
              </w:numPr>
            </w:pPr>
            <w:r>
              <w:t>£1.5</w:t>
            </w:r>
            <w:r w:rsidR="00C84036">
              <w:t>57</w:t>
            </w:r>
            <w:r>
              <w:t>m</w:t>
            </w:r>
            <w:r w:rsidR="00ED4EA8" w:rsidRPr="00ED4EA8">
              <w:t xml:space="preserve"> projected</w:t>
            </w:r>
            <w:r w:rsidR="0022635D">
              <w:t xml:space="preserve"> overspend</w:t>
            </w:r>
            <w:r w:rsidR="00ED4EA8" w:rsidRPr="00ED4EA8">
              <w:t xml:space="preserve"> variance</w:t>
            </w:r>
            <w:r w:rsidR="00C84036">
              <w:t xml:space="preserve"> in Children’s placements plus further £1.1m overspend in children with disability area (home support, shared care service and direct payment) so almost £2.7m overspend being reported in Q3, 2023/24.</w:t>
            </w:r>
          </w:p>
          <w:p w14:paraId="4AF1943D" w14:textId="77777777" w:rsidR="00ED4EA8" w:rsidRPr="00ED4EA8" w:rsidRDefault="00073FBC" w:rsidP="00C84036">
            <w:pPr>
              <w:pStyle w:val="ListParagraph"/>
              <w:numPr>
                <w:ilvl w:val="0"/>
                <w:numId w:val="11"/>
              </w:numPr>
            </w:pPr>
            <w:r>
              <w:t>£366</w:t>
            </w:r>
            <w:r w:rsidR="009268DE">
              <w:t>k</w:t>
            </w:r>
            <w:r w:rsidR="00ED4EA8">
              <w:t xml:space="preserve"> final outturn overspend in 22/23 </w:t>
            </w:r>
          </w:p>
        </w:tc>
      </w:tr>
    </w:tbl>
    <w:p w14:paraId="54BD7F84" w14:textId="77777777" w:rsidR="001C7161" w:rsidRDefault="001C7161" w:rsidP="001C7161"/>
    <w:tbl>
      <w:tblPr>
        <w:tblStyle w:val="TableGrid"/>
        <w:tblW w:w="0" w:type="auto"/>
        <w:tblLook w:val="04A0" w:firstRow="1" w:lastRow="0" w:firstColumn="1" w:lastColumn="0" w:noHBand="0" w:noVBand="1"/>
      </w:tblPr>
      <w:tblGrid>
        <w:gridCol w:w="9016"/>
      </w:tblGrid>
      <w:tr w:rsidR="001C7161" w14:paraId="4EA42049" w14:textId="77777777" w:rsidTr="001C7161">
        <w:tc>
          <w:tcPr>
            <w:tcW w:w="9242" w:type="dxa"/>
          </w:tcPr>
          <w:p w14:paraId="04D1C09A" w14:textId="77777777" w:rsidR="001C7161" w:rsidRDefault="00010C67" w:rsidP="001C7161">
            <w:pPr>
              <w:rPr>
                <w:b/>
              </w:rPr>
            </w:pPr>
            <w:r>
              <w:rPr>
                <w:b/>
              </w:rPr>
              <w:t>Explain the context behind th</w:t>
            </w:r>
            <w:r w:rsidR="009B234A">
              <w:rPr>
                <w:b/>
              </w:rPr>
              <w:t>is pressure</w:t>
            </w:r>
            <w:r>
              <w:rPr>
                <w:b/>
              </w:rPr>
              <w:t xml:space="preserve"> and what has caused it</w:t>
            </w:r>
          </w:p>
          <w:p w14:paraId="7DD678A8" w14:textId="77777777" w:rsidR="00927DAB" w:rsidRDefault="00927DAB" w:rsidP="00927DAB">
            <w:pPr>
              <w:pStyle w:val="ListParagraph"/>
              <w:numPr>
                <w:ilvl w:val="0"/>
                <w:numId w:val="3"/>
              </w:numPr>
              <w:rPr>
                <w:b/>
              </w:rPr>
            </w:pPr>
            <w:r>
              <w:rPr>
                <w:b/>
              </w:rPr>
              <w:t>Since when has the budget been in deficit (provide the year, e.g. 2020/21)</w:t>
            </w:r>
          </w:p>
          <w:p w14:paraId="27DFC563" w14:textId="77777777"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14:paraId="2625C1E0" w14:textId="77777777" w:rsidTr="001C7161">
        <w:tc>
          <w:tcPr>
            <w:tcW w:w="9242" w:type="dxa"/>
          </w:tcPr>
          <w:p w14:paraId="097768A4" w14:textId="3DA127B5" w:rsidR="00E84F8B" w:rsidRDefault="00E96FCA" w:rsidP="0036713C">
            <w:r w:rsidRPr="00E96FCA">
              <w:t xml:space="preserve">These areas have seen significant budget pressures over a number of years due to the level of need and complexity of care required by families and children in the town and in response to the need to improve the quality of services.  </w:t>
            </w:r>
            <w:r w:rsidR="00AF501C">
              <w:t>As per Q</w:t>
            </w:r>
            <w:r w:rsidR="00C84036">
              <w:t>3</w:t>
            </w:r>
            <w:r w:rsidR="00AF501C">
              <w:t xml:space="preserve"> placements model summary:</w:t>
            </w:r>
          </w:p>
          <w:p w14:paraId="44F60011" w14:textId="77777777" w:rsidR="00AF501C" w:rsidRDefault="00AF501C" w:rsidP="0036713C"/>
          <w:p w14:paraId="2C6D77A0" w14:textId="06453112" w:rsidR="00AF501C" w:rsidRDefault="000D4404" w:rsidP="0036713C">
            <w:r>
              <w:rPr>
                <w:noProof/>
              </w:rPr>
              <w:drawing>
                <wp:inline distT="0" distB="0" distL="0" distR="0" wp14:anchorId="095E002D" wp14:editId="29FED426">
                  <wp:extent cx="5643443" cy="1692322"/>
                  <wp:effectExtent l="0" t="0" r="0" b="3175"/>
                  <wp:docPr id="42350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4692" cy="1698694"/>
                          </a:xfrm>
                          <a:prstGeom prst="rect">
                            <a:avLst/>
                          </a:prstGeom>
                          <a:noFill/>
                        </pic:spPr>
                      </pic:pic>
                    </a:graphicData>
                  </a:graphic>
                </wp:inline>
              </w:drawing>
            </w:r>
          </w:p>
          <w:p w14:paraId="7E92FABB" w14:textId="77777777" w:rsidR="00AF501C" w:rsidRDefault="00AF501C" w:rsidP="0036713C"/>
          <w:p w14:paraId="67A9CE51" w14:textId="77777777" w:rsidR="00AF501C" w:rsidRDefault="00AF501C" w:rsidP="0036713C"/>
          <w:p w14:paraId="785CF953" w14:textId="77777777" w:rsidR="00E96FCA" w:rsidRDefault="00E96FCA" w:rsidP="0036713C"/>
          <w:p w14:paraId="21D5E7AE" w14:textId="77777777" w:rsidR="00E84F8B" w:rsidRDefault="00E84F8B" w:rsidP="0036713C"/>
        </w:tc>
      </w:tr>
    </w:tbl>
    <w:p w14:paraId="118B62AE" w14:textId="77777777" w:rsidR="001C7161" w:rsidRDefault="001C7161" w:rsidP="001C7161"/>
    <w:tbl>
      <w:tblPr>
        <w:tblStyle w:val="TableGrid"/>
        <w:tblW w:w="0" w:type="auto"/>
        <w:tblLook w:val="04A0" w:firstRow="1" w:lastRow="0" w:firstColumn="1" w:lastColumn="0" w:noHBand="0" w:noVBand="1"/>
      </w:tblPr>
      <w:tblGrid>
        <w:gridCol w:w="9016"/>
      </w:tblGrid>
      <w:tr w:rsidR="009B64B4" w14:paraId="6FD283CB" w14:textId="77777777" w:rsidTr="006006B5">
        <w:tc>
          <w:tcPr>
            <w:tcW w:w="9016" w:type="dxa"/>
          </w:tcPr>
          <w:p w14:paraId="2B555872" w14:textId="77777777" w:rsidR="009B64B4" w:rsidRDefault="009B234A" w:rsidP="001C7161">
            <w:pPr>
              <w:rPr>
                <w:b/>
              </w:rPr>
            </w:pPr>
            <w:r>
              <w:rPr>
                <w:b/>
              </w:rPr>
              <w:t>What action(s) can be taken to keep 23/24 spend in line with approved budget?</w:t>
            </w:r>
          </w:p>
          <w:p w14:paraId="042EDFD7" w14:textId="77777777" w:rsidR="00010C67" w:rsidRPr="00010C67" w:rsidRDefault="00010C67" w:rsidP="00010C67">
            <w:pPr>
              <w:pStyle w:val="ListParagraph"/>
              <w:numPr>
                <w:ilvl w:val="0"/>
                <w:numId w:val="1"/>
              </w:numPr>
              <w:rPr>
                <w:b/>
              </w:rPr>
            </w:pPr>
            <w:r>
              <w:rPr>
                <w:b/>
              </w:rPr>
              <w:t>What needs to be done?  If there is more than one option explain each option in detail</w:t>
            </w:r>
          </w:p>
          <w:p w14:paraId="154DE717" w14:textId="77777777" w:rsidR="00010C67" w:rsidRDefault="00010C67" w:rsidP="00010C67">
            <w:pPr>
              <w:pStyle w:val="ListParagraph"/>
              <w:numPr>
                <w:ilvl w:val="0"/>
                <w:numId w:val="1"/>
              </w:numPr>
              <w:rPr>
                <w:b/>
              </w:rPr>
            </w:pPr>
            <w:r>
              <w:rPr>
                <w:b/>
              </w:rPr>
              <w:t>Are there any barriers or factors beyond your control that will affect your ability to recover the deficit?</w:t>
            </w:r>
          </w:p>
          <w:p w14:paraId="68A728BB" w14:textId="77777777" w:rsidR="00927DAB" w:rsidRPr="00010C67" w:rsidRDefault="00927DAB" w:rsidP="00010C67">
            <w:pPr>
              <w:pStyle w:val="ListParagraph"/>
              <w:numPr>
                <w:ilvl w:val="0"/>
                <w:numId w:val="1"/>
              </w:numPr>
              <w:rPr>
                <w:b/>
              </w:rPr>
            </w:pPr>
            <w:r>
              <w:rPr>
                <w:b/>
              </w:rPr>
              <w:t>Explain how the cost/income drivers can be managed</w:t>
            </w:r>
          </w:p>
        </w:tc>
      </w:tr>
      <w:tr w:rsidR="009B64B4" w14:paraId="5E3DE871" w14:textId="77777777" w:rsidTr="006006B5">
        <w:tc>
          <w:tcPr>
            <w:tcW w:w="9016" w:type="dxa"/>
          </w:tcPr>
          <w:p w14:paraId="785C8D6B" w14:textId="77777777" w:rsidR="004B587C" w:rsidRPr="00A06800" w:rsidRDefault="004B587C" w:rsidP="004B587C">
            <w:pPr>
              <w:numPr>
                <w:ilvl w:val="0"/>
                <w:numId w:val="12"/>
              </w:numPr>
              <w:spacing w:line="259" w:lineRule="auto"/>
              <w:rPr>
                <w:sz w:val="24"/>
                <w:szCs w:val="24"/>
              </w:rPr>
            </w:pPr>
            <w:r w:rsidRPr="00A06800">
              <w:rPr>
                <w:sz w:val="24"/>
                <w:szCs w:val="24"/>
              </w:rPr>
              <w:t xml:space="preserve">There </w:t>
            </w:r>
            <w:r>
              <w:rPr>
                <w:sz w:val="24"/>
                <w:szCs w:val="24"/>
              </w:rPr>
              <w:t>were</w:t>
            </w:r>
            <w:r w:rsidRPr="00A06800">
              <w:rPr>
                <w:sz w:val="24"/>
                <w:szCs w:val="24"/>
              </w:rPr>
              <w:t xml:space="preserve"> 72 children in high-cost placements. </w:t>
            </w:r>
          </w:p>
          <w:p w14:paraId="11AA4A9E" w14:textId="77777777" w:rsidR="004B587C" w:rsidRPr="00A06800" w:rsidRDefault="004B587C" w:rsidP="004B587C">
            <w:pPr>
              <w:numPr>
                <w:ilvl w:val="0"/>
                <w:numId w:val="12"/>
              </w:numPr>
              <w:spacing w:line="259" w:lineRule="auto"/>
              <w:rPr>
                <w:sz w:val="24"/>
                <w:szCs w:val="24"/>
              </w:rPr>
            </w:pPr>
            <w:r w:rsidRPr="00A06800">
              <w:rPr>
                <w:sz w:val="24"/>
                <w:szCs w:val="24"/>
              </w:rPr>
              <w:t>58 of those are costing over £1k per week and 14 residential are costing between £3.5k to £15k per week (10 costing £3.5k per week and 4 up to £15k per week)</w:t>
            </w:r>
          </w:p>
          <w:p w14:paraId="4CFD55E8" w14:textId="77777777" w:rsidR="004B587C" w:rsidRPr="00A06800" w:rsidRDefault="004B587C" w:rsidP="004B587C">
            <w:pPr>
              <w:numPr>
                <w:ilvl w:val="0"/>
                <w:numId w:val="12"/>
              </w:numPr>
              <w:spacing w:line="259" w:lineRule="auto"/>
              <w:rPr>
                <w:i/>
                <w:sz w:val="24"/>
                <w:szCs w:val="24"/>
              </w:rPr>
            </w:pPr>
            <w:r w:rsidRPr="00A06800">
              <w:rPr>
                <w:sz w:val="24"/>
                <w:szCs w:val="24"/>
              </w:rPr>
              <w:lastRenderedPageBreak/>
              <w:t xml:space="preserve">Two review panels have been set on a weekly basis, starting from 17th October to 31st December 2023, to review the placement plans for all 72 children: starting with the most expensive placements in residential settings. </w:t>
            </w:r>
            <w:r>
              <w:rPr>
                <w:sz w:val="24"/>
                <w:szCs w:val="24"/>
              </w:rPr>
              <w:t>Total projected reduction in spend because of these panels reviews is £557k out of which £460k has already been accounted for in Q3 monitoring reported in this report.</w:t>
            </w:r>
          </w:p>
          <w:p w14:paraId="2DD57C33" w14:textId="77777777" w:rsidR="004B587C" w:rsidRPr="00A06800" w:rsidRDefault="004B587C" w:rsidP="004B587C">
            <w:pPr>
              <w:numPr>
                <w:ilvl w:val="0"/>
                <w:numId w:val="12"/>
              </w:numPr>
              <w:spacing w:line="259" w:lineRule="auto"/>
              <w:rPr>
                <w:iCs/>
                <w:sz w:val="24"/>
                <w:szCs w:val="24"/>
              </w:rPr>
            </w:pPr>
            <w:r w:rsidRPr="00A06800">
              <w:rPr>
                <w:sz w:val="24"/>
                <w:szCs w:val="24"/>
              </w:rPr>
              <w:t xml:space="preserve">Financial contribution from partners - A revisit of the financial contribution from health and education. However, </w:t>
            </w:r>
            <w:r>
              <w:rPr>
                <w:sz w:val="24"/>
                <w:szCs w:val="24"/>
              </w:rPr>
              <w:t xml:space="preserve">no information is available </w:t>
            </w:r>
            <w:r w:rsidRPr="00A06800">
              <w:rPr>
                <w:iCs/>
                <w:sz w:val="24"/>
                <w:szCs w:val="24"/>
              </w:rPr>
              <w:t>to suggest</w:t>
            </w:r>
            <w:r>
              <w:rPr>
                <w:iCs/>
                <w:sz w:val="24"/>
                <w:szCs w:val="24"/>
              </w:rPr>
              <w:t xml:space="preserve"> any increase in</w:t>
            </w:r>
            <w:r w:rsidRPr="00A06800">
              <w:rPr>
                <w:iCs/>
                <w:sz w:val="24"/>
                <w:szCs w:val="24"/>
              </w:rPr>
              <w:t xml:space="preserve"> contributions from Health </w:t>
            </w:r>
            <w:r>
              <w:rPr>
                <w:iCs/>
                <w:sz w:val="24"/>
                <w:szCs w:val="24"/>
              </w:rPr>
              <w:t xml:space="preserve">or Education has been agreed </w:t>
            </w:r>
            <w:r w:rsidRPr="00A06800">
              <w:rPr>
                <w:iCs/>
                <w:sz w:val="24"/>
                <w:szCs w:val="24"/>
              </w:rPr>
              <w:t>towards placement costs</w:t>
            </w:r>
            <w:r>
              <w:rPr>
                <w:iCs/>
                <w:sz w:val="24"/>
                <w:szCs w:val="24"/>
              </w:rPr>
              <w:t>.</w:t>
            </w:r>
          </w:p>
          <w:p w14:paraId="720A7EF9" w14:textId="77777777" w:rsidR="004B587C" w:rsidRPr="00A06800" w:rsidRDefault="004B587C" w:rsidP="004B587C">
            <w:pPr>
              <w:pStyle w:val="ListParagraph"/>
              <w:numPr>
                <w:ilvl w:val="0"/>
                <w:numId w:val="12"/>
              </w:numPr>
              <w:spacing w:line="259" w:lineRule="auto"/>
              <w:rPr>
                <w:iCs/>
                <w:sz w:val="24"/>
                <w:szCs w:val="24"/>
              </w:rPr>
            </w:pPr>
            <w:r w:rsidRPr="00A06800">
              <w:rPr>
                <w:sz w:val="24"/>
                <w:szCs w:val="24"/>
              </w:rPr>
              <w:t xml:space="preserve">Children with continuing care needs – Strengthen the finance contribution between health and social care for those children who have continuing health care needs but again </w:t>
            </w:r>
            <w:r w:rsidRPr="00A06800">
              <w:rPr>
                <w:iCs/>
                <w:sz w:val="24"/>
                <w:szCs w:val="24"/>
              </w:rPr>
              <w:t>no evidence to suggest additional contributions from Health towards placement costs where there is currently no contribution</w:t>
            </w:r>
            <w:r>
              <w:rPr>
                <w:iCs/>
                <w:sz w:val="24"/>
                <w:szCs w:val="24"/>
              </w:rPr>
              <w:t xml:space="preserve"> has been agreed.</w:t>
            </w:r>
          </w:p>
          <w:p w14:paraId="17B61D7B" w14:textId="77777777" w:rsidR="004B587C" w:rsidRPr="00A06800" w:rsidRDefault="004B587C" w:rsidP="004B587C">
            <w:pPr>
              <w:pStyle w:val="ListParagraph"/>
              <w:numPr>
                <w:ilvl w:val="0"/>
                <w:numId w:val="12"/>
              </w:numPr>
              <w:spacing w:line="259" w:lineRule="auto"/>
              <w:rPr>
                <w:sz w:val="24"/>
                <w:szCs w:val="24"/>
              </w:rPr>
            </w:pPr>
            <w:r w:rsidRPr="00A06800">
              <w:rPr>
                <w:sz w:val="24"/>
                <w:szCs w:val="24"/>
              </w:rPr>
              <w:t>A review of the purchasing of the wraparound services to support children’s care plans.</w:t>
            </w:r>
          </w:p>
          <w:p w14:paraId="4095B773" w14:textId="77777777" w:rsidR="004B587C" w:rsidRPr="00A06800" w:rsidRDefault="004B587C" w:rsidP="004B587C">
            <w:pPr>
              <w:numPr>
                <w:ilvl w:val="0"/>
                <w:numId w:val="12"/>
              </w:numPr>
              <w:spacing w:line="259" w:lineRule="auto"/>
              <w:rPr>
                <w:sz w:val="24"/>
                <w:szCs w:val="24"/>
              </w:rPr>
            </w:pPr>
            <w:r w:rsidRPr="00A06800">
              <w:rPr>
                <w:sz w:val="24"/>
                <w:szCs w:val="24"/>
              </w:rPr>
              <w:t xml:space="preserve">Luton’s children’s residential Wigmore Hall to be opened by the end of Q3 which will help to reduce high-cost placements. </w:t>
            </w:r>
          </w:p>
          <w:p w14:paraId="7A16F83B" w14:textId="435D25EF" w:rsidR="00585DD2" w:rsidRDefault="00585DD2" w:rsidP="007550ED"/>
        </w:tc>
      </w:tr>
      <w:tr w:rsidR="004756AD" w14:paraId="2D993539" w14:textId="77777777" w:rsidTr="006006B5">
        <w:tc>
          <w:tcPr>
            <w:tcW w:w="9016" w:type="dxa"/>
          </w:tcPr>
          <w:p w14:paraId="080B1E61" w14:textId="77777777" w:rsidR="004756AD" w:rsidRDefault="004756AD" w:rsidP="007550ED"/>
        </w:tc>
      </w:tr>
    </w:tbl>
    <w:p w14:paraId="699B9835" w14:textId="77777777" w:rsidR="001C7161" w:rsidRPr="003F009F" w:rsidRDefault="001C7161" w:rsidP="001C7161"/>
    <w:tbl>
      <w:tblPr>
        <w:tblStyle w:val="TableGrid"/>
        <w:tblW w:w="0" w:type="auto"/>
        <w:tblLook w:val="04A0" w:firstRow="1" w:lastRow="0" w:firstColumn="1" w:lastColumn="0" w:noHBand="0" w:noVBand="1"/>
      </w:tblPr>
      <w:tblGrid>
        <w:gridCol w:w="5746"/>
        <w:gridCol w:w="1588"/>
        <w:gridCol w:w="1682"/>
      </w:tblGrid>
      <w:tr w:rsidR="004C36B2" w:rsidRPr="003C7377" w14:paraId="2A148245" w14:textId="77777777" w:rsidTr="004C36B2">
        <w:tc>
          <w:tcPr>
            <w:tcW w:w="9016" w:type="dxa"/>
            <w:gridSpan w:val="3"/>
            <w:tcBorders>
              <w:bottom w:val="single" w:sz="4" w:space="0" w:color="auto"/>
            </w:tcBorders>
          </w:tcPr>
          <w:p w14:paraId="112B148E" w14:textId="77777777" w:rsidR="004C36B2" w:rsidRPr="003C7377" w:rsidRDefault="004C36B2" w:rsidP="001C7161">
            <w:pPr>
              <w:rPr>
                <w:b/>
              </w:rPr>
            </w:pPr>
            <w:r w:rsidRPr="003C7377">
              <w:rPr>
                <w:b/>
              </w:rPr>
              <w:t>Timescale for budget deficit recovery</w:t>
            </w:r>
          </w:p>
          <w:p w14:paraId="3CC04342" w14:textId="77777777" w:rsidR="004C36B2" w:rsidRPr="003C7377" w:rsidRDefault="004C36B2" w:rsidP="00010C67">
            <w:pPr>
              <w:pStyle w:val="ListParagraph"/>
              <w:numPr>
                <w:ilvl w:val="0"/>
                <w:numId w:val="2"/>
              </w:numPr>
              <w:rPr>
                <w:b/>
              </w:rPr>
            </w:pPr>
            <w:r w:rsidRPr="003C7377">
              <w:rPr>
                <w:b/>
              </w:rPr>
              <w:t xml:space="preserve">List the key milestones required to deliver the budget recovery, the estimated amount to be delivered and the estimated date for each </w:t>
            </w:r>
          </w:p>
          <w:p w14:paraId="36E1133E" w14:textId="77777777" w:rsidR="00AE3C89" w:rsidRPr="003C7377" w:rsidRDefault="00AE3C89" w:rsidP="00AE3C89">
            <w:pPr>
              <w:rPr>
                <w:b/>
              </w:rPr>
            </w:pPr>
          </w:p>
          <w:p w14:paraId="73AC0A50" w14:textId="77777777" w:rsidR="004C36B2" w:rsidRPr="003C7377" w:rsidRDefault="004C36B2" w:rsidP="00E14CD3">
            <w:pPr>
              <w:pStyle w:val="ListParagraph"/>
              <w:rPr>
                <w:b/>
              </w:rPr>
            </w:pPr>
          </w:p>
        </w:tc>
      </w:tr>
      <w:tr w:rsidR="004C36B2" w:rsidRPr="003C7377" w14:paraId="2C9EDD28" w14:textId="77777777" w:rsidTr="004C36B2">
        <w:tc>
          <w:tcPr>
            <w:tcW w:w="5746" w:type="dxa"/>
            <w:shd w:val="pct30" w:color="auto" w:fill="auto"/>
          </w:tcPr>
          <w:p w14:paraId="6FD6576C" w14:textId="77777777" w:rsidR="004C36B2" w:rsidRPr="003C7377" w:rsidRDefault="004C36B2" w:rsidP="00E14CD3">
            <w:pPr>
              <w:jc w:val="center"/>
            </w:pPr>
            <w:r w:rsidRPr="003C7377">
              <w:t>MILESTONE DETAILS</w:t>
            </w:r>
          </w:p>
        </w:tc>
        <w:tc>
          <w:tcPr>
            <w:tcW w:w="1588" w:type="dxa"/>
            <w:shd w:val="pct30" w:color="auto" w:fill="auto"/>
          </w:tcPr>
          <w:p w14:paraId="0CE4B995" w14:textId="77777777" w:rsidR="004C36B2" w:rsidRPr="003C7377" w:rsidRDefault="004C36B2" w:rsidP="00E14CD3">
            <w:pPr>
              <w:jc w:val="center"/>
            </w:pPr>
            <w:r w:rsidRPr="003C7377">
              <w:t>£</w:t>
            </w:r>
          </w:p>
        </w:tc>
        <w:tc>
          <w:tcPr>
            <w:tcW w:w="1682" w:type="dxa"/>
            <w:shd w:val="pct30" w:color="auto" w:fill="auto"/>
          </w:tcPr>
          <w:p w14:paraId="3DB0399C" w14:textId="77777777" w:rsidR="004C36B2" w:rsidRPr="003C7377" w:rsidRDefault="004C36B2" w:rsidP="00E14CD3">
            <w:pPr>
              <w:jc w:val="center"/>
            </w:pPr>
            <w:r w:rsidRPr="003C7377">
              <w:t>Date</w:t>
            </w:r>
          </w:p>
        </w:tc>
      </w:tr>
      <w:tr w:rsidR="006006B5" w:rsidRPr="003C7377" w14:paraId="22657052" w14:textId="77777777" w:rsidTr="004C36B2">
        <w:tc>
          <w:tcPr>
            <w:tcW w:w="5746" w:type="dxa"/>
          </w:tcPr>
          <w:p w14:paraId="659705F2" w14:textId="77777777" w:rsidR="006006B5" w:rsidRPr="003C7377" w:rsidRDefault="006006B5" w:rsidP="006006B5"/>
        </w:tc>
        <w:tc>
          <w:tcPr>
            <w:tcW w:w="1588" w:type="dxa"/>
          </w:tcPr>
          <w:p w14:paraId="6DCBFA84" w14:textId="77777777" w:rsidR="006006B5" w:rsidRPr="003C7377" w:rsidRDefault="006006B5" w:rsidP="006006B5"/>
        </w:tc>
        <w:tc>
          <w:tcPr>
            <w:tcW w:w="1682" w:type="dxa"/>
          </w:tcPr>
          <w:p w14:paraId="45567F7B" w14:textId="77777777" w:rsidR="006006B5" w:rsidRPr="003C7377" w:rsidRDefault="006006B5" w:rsidP="006006B5"/>
        </w:tc>
      </w:tr>
      <w:tr w:rsidR="006006B5" w:rsidRPr="003C7377" w14:paraId="6F59D8B6" w14:textId="77777777" w:rsidTr="004C36B2">
        <w:tc>
          <w:tcPr>
            <w:tcW w:w="5746" w:type="dxa"/>
          </w:tcPr>
          <w:p w14:paraId="2892BD14" w14:textId="77777777" w:rsidR="006006B5" w:rsidRPr="003C7377" w:rsidRDefault="006006B5" w:rsidP="006006B5"/>
        </w:tc>
        <w:tc>
          <w:tcPr>
            <w:tcW w:w="1588" w:type="dxa"/>
          </w:tcPr>
          <w:p w14:paraId="206C6017" w14:textId="77777777" w:rsidR="006006B5" w:rsidRPr="003C7377" w:rsidRDefault="006006B5" w:rsidP="006006B5"/>
        </w:tc>
        <w:tc>
          <w:tcPr>
            <w:tcW w:w="1682" w:type="dxa"/>
          </w:tcPr>
          <w:p w14:paraId="78AF1231" w14:textId="77777777" w:rsidR="006006B5" w:rsidRPr="003C7377" w:rsidRDefault="006006B5" w:rsidP="006006B5"/>
        </w:tc>
      </w:tr>
      <w:tr w:rsidR="006006B5" w:rsidRPr="003C7377" w14:paraId="46EEA0DA" w14:textId="77777777" w:rsidTr="004C36B2">
        <w:tc>
          <w:tcPr>
            <w:tcW w:w="5746" w:type="dxa"/>
          </w:tcPr>
          <w:p w14:paraId="64DBA225" w14:textId="77777777" w:rsidR="006006B5" w:rsidRPr="003C7377" w:rsidRDefault="006006B5" w:rsidP="006006B5">
            <w:pPr>
              <w:tabs>
                <w:tab w:val="left" w:pos="4530"/>
              </w:tabs>
            </w:pPr>
          </w:p>
        </w:tc>
        <w:tc>
          <w:tcPr>
            <w:tcW w:w="1588" w:type="dxa"/>
          </w:tcPr>
          <w:p w14:paraId="58E85229" w14:textId="77777777" w:rsidR="006006B5" w:rsidRPr="003C7377" w:rsidRDefault="006006B5" w:rsidP="006006B5"/>
        </w:tc>
        <w:tc>
          <w:tcPr>
            <w:tcW w:w="1682" w:type="dxa"/>
          </w:tcPr>
          <w:p w14:paraId="63A4DE3C" w14:textId="77777777" w:rsidR="006006B5" w:rsidRPr="003C7377" w:rsidRDefault="006006B5" w:rsidP="006006B5"/>
        </w:tc>
      </w:tr>
      <w:tr w:rsidR="006006B5" w:rsidRPr="003C7377" w14:paraId="76C0DD59" w14:textId="77777777" w:rsidTr="004C36B2">
        <w:tc>
          <w:tcPr>
            <w:tcW w:w="5746" w:type="dxa"/>
          </w:tcPr>
          <w:p w14:paraId="4B9DAB1A" w14:textId="77777777" w:rsidR="006006B5" w:rsidRPr="003C7377" w:rsidRDefault="006006B5" w:rsidP="006006B5">
            <w:pPr>
              <w:tabs>
                <w:tab w:val="left" w:pos="1485"/>
              </w:tabs>
            </w:pPr>
          </w:p>
        </w:tc>
        <w:tc>
          <w:tcPr>
            <w:tcW w:w="1588" w:type="dxa"/>
          </w:tcPr>
          <w:p w14:paraId="7AB9F176" w14:textId="77777777" w:rsidR="006006B5" w:rsidRPr="003C7377" w:rsidRDefault="006006B5" w:rsidP="006006B5"/>
        </w:tc>
        <w:tc>
          <w:tcPr>
            <w:tcW w:w="1682" w:type="dxa"/>
          </w:tcPr>
          <w:p w14:paraId="4A714715" w14:textId="77777777" w:rsidR="006006B5" w:rsidRPr="003C7377" w:rsidRDefault="006006B5" w:rsidP="006006B5"/>
        </w:tc>
      </w:tr>
      <w:tr w:rsidR="006006B5" w:rsidRPr="003C7377" w14:paraId="5310B76F" w14:textId="77777777" w:rsidTr="004C36B2">
        <w:tc>
          <w:tcPr>
            <w:tcW w:w="5746" w:type="dxa"/>
          </w:tcPr>
          <w:p w14:paraId="5FF88EAD" w14:textId="77777777" w:rsidR="006006B5" w:rsidRPr="003C7377" w:rsidRDefault="006006B5" w:rsidP="006006B5"/>
        </w:tc>
        <w:tc>
          <w:tcPr>
            <w:tcW w:w="1588" w:type="dxa"/>
          </w:tcPr>
          <w:p w14:paraId="5D8659B0" w14:textId="77777777" w:rsidR="006006B5" w:rsidRPr="003C7377" w:rsidRDefault="006006B5" w:rsidP="006006B5"/>
        </w:tc>
        <w:tc>
          <w:tcPr>
            <w:tcW w:w="1682" w:type="dxa"/>
          </w:tcPr>
          <w:p w14:paraId="062BA2C9" w14:textId="77777777" w:rsidR="006006B5" w:rsidRPr="003C7377" w:rsidRDefault="006006B5" w:rsidP="006006B5"/>
        </w:tc>
      </w:tr>
    </w:tbl>
    <w:p w14:paraId="435A02ED" w14:textId="77777777" w:rsidR="00AE3C89" w:rsidRPr="003C7377" w:rsidRDefault="00AE3C89" w:rsidP="001C7161"/>
    <w:tbl>
      <w:tblPr>
        <w:tblStyle w:val="TableGrid"/>
        <w:tblW w:w="0" w:type="auto"/>
        <w:tblLook w:val="04A0" w:firstRow="1" w:lastRow="0" w:firstColumn="1" w:lastColumn="0" w:noHBand="0" w:noVBand="1"/>
      </w:tblPr>
      <w:tblGrid>
        <w:gridCol w:w="7366"/>
        <w:gridCol w:w="1650"/>
      </w:tblGrid>
      <w:tr w:rsidR="00E14CD3" w:rsidRPr="00EF763E" w14:paraId="4A22D2BC" w14:textId="77777777" w:rsidTr="00E14CD3">
        <w:tc>
          <w:tcPr>
            <w:tcW w:w="9016" w:type="dxa"/>
            <w:gridSpan w:val="2"/>
          </w:tcPr>
          <w:p w14:paraId="6F2F239F" w14:textId="77777777" w:rsidR="00E14CD3" w:rsidRPr="003C7377" w:rsidRDefault="00E14CD3" w:rsidP="001C7161">
            <w:pPr>
              <w:rPr>
                <w:b/>
              </w:rPr>
            </w:pPr>
            <w:r w:rsidRPr="003C7377">
              <w:rPr>
                <w:b/>
              </w:rPr>
              <w:t>Quarterly Monitoring updates</w:t>
            </w:r>
          </w:p>
          <w:p w14:paraId="7E768FAE" w14:textId="77777777" w:rsidR="00E14CD3" w:rsidRPr="003C7377" w:rsidRDefault="00E14CD3" w:rsidP="00E14CD3">
            <w:pPr>
              <w:pStyle w:val="ListParagraph"/>
              <w:numPr>
                <w:ilvl w:val="0"/>
                <w:numId w:val="2"/>
              </w:numPr>
              <w:rPr>
                <w:b/>
              </w:rPr>
            </w:pPr>
            <w:r w:rsidRPr="003C7377">
              <w:rPr>
                <w:b/>
              </w:rPr>
              <w:t>Provide quarterly progress updates against milestone delivery to align with the quarterly budget monitoring reports to executive.  Where milestones have not been met please provide an explanation, revised milestone dates, and how delivery can be brought back on track</w:t>
            </w:r>
          </w:p>
          <w:p w14:paraId="25730F68" w14:textId="77777777" w:rsidR="00E14CD3" w:rsidRPr="003C7377" w:rsidRDefault="00E14CD3" w:rsidP="00E14CD3">
            <w:pPr>
              <w:pStyle w:val="ListParagraph"/>
              <w:numPr>
                <w:ilvl w:val="0"/>
                <w:numId w:val="2"/>
              </w:numPr>
              <w:rPr>
                <w:b/>
              </w:rPr>
            </w:pPr>
            <w:r w:rsidRPr="003C7377">
              <w:rPr>
                <w:b/>
              </w:rPr>
              <w:t>If the recovery plan cannot be delivered, THERE IS NO NEW MONEY AVAILABLE so please provide an alternative proposal as to how budgets can be realigned so that it can be considered by DMT</w:t>
            </w:r>
          </w:p>
        </w:tc>
      </w:tr>
      <w:tr w:rsidR="00E14CD3" w:rsidRPr="00EF763E" w14:paraId="29D92DE5" w14:textId="77777777" w:rsidTr="00E14CD3">
        <w:tc>
          <w:tcPr>
            <w:tcW w:w="9016" w:type="dxa"/>
            <w:gridSpan w:val="2"/>
            <w:shd w:val="pct30" w:color="auto" w:fill="auto"/>
          </w:tcPr>
          <w:p w14:paraId="34FB5ADA" w14:textId="77777777" w:rsidR="00E14CD3" w:rsidRPr="003C7377" w:rsidRDefault="00E14CD3" w:rsidP="001C7161">
            <w:pPr>
              <w:rPr>
                <w:b/>
              </w:rPr>
            </w:pPr>
            <w:r w:rsidRPr="003C7377">
              <w:rPr>
                <w:b/>
              </w:rPr>
              <w:t>QUARTER 1 (to 30/06/23)</w:t>
            </w:r>
          </w:p>
        </w:tc>
      </w:tr>
      <w:tr w:rsidR="00236442" w:rsidRPr="00EF763E" w14:paraId="10771E0B" w14:textId="77777777" w:rsidTr="00236442">
        <w:tc>
          <w:tcPr>
            <w:tcW w:w="7366" w:type="dxa"/>
          </w:tcPr>
          <w:p w14:paraId="0BC275B9" w14:textId="77777777" w:rsidR="00236442" w:rsidRPr="003C7377" w:rsidRDefault="00236442" w:rsidP="00236442">
            <w:r w:rsidRPr="003C7377">
              <w:t>On Target ? (Yes = GREEN; Partial (e.g. milestones slipped) = AMBER, No = RED)</w:t>
            </w:r>
          </w:p>
        </w:tc>
        <w:tc>
          <w:tcPr>
            <w:tcW w:w="1650" w:type="dxa"/>
          </w:tcPr>
          <w:p w14:paraId="3E2AF148" w14:textId="77777777" w:rsidR="00236442" w:rsidRPr="003C7377" w:rsidRDefault="00236442" w:rsidP="001C7161"/>
        </w:tc>
      </w:tr>
      <w:tr w:rsidR="00236442" w:rsidRPr="00EF763E" w14:paraId="5040A1C0" w14:textId="77777777" w:rsidTr="00E14CD3">
        <w:tc>
          <w:tcPr>
            <w:tcW w:w="9016" w:type="dxa"/>
            <w:gridSpan w:val="2"/>
          </w:tcPr>
          <w:p w14:paraId="44C83907" w14:textId="77777777" w:rsidR="00236442" w:rsidRPr="003C7377" w:rsidRDefault="00236442" w:rsidP="001C7161">
            <w:r w:rsidRPr="003C7377">
              <w:t>Provide narrative below</w:t>
            </w:r>
          </w:p>
        </w:tc>
      </w:tr>
      <w:tr w:rsidR="00236442" w:rsidRPr="00EF763E" w14:paraId="243F1A13" w14:textId="77777777" w:rsidTr="00E14CD3">
        <w:tc>
          <w:tcPr>
            <w:tcW w:w="9016" w:type="dxa"/>
            <w:gridSpan w:val="2"/>
          </w:tcPr>
          <w:p w14:paraId="5A8A2548" w14:textId="77777777" w:rsidR="00236442" w:rsidRPr="003C7377" w:rsidRDefault="00236442" w:rsidP="00585DD2"/>
          <w:p w14:paraId="00C50F88" w14:textId="77777777" w:rsidR="00585DD2" w:rsidRPr="003C7377" w:rsidRDefault="00585DD2" w:rsidP="00585DD2"/>
          <w:p w14:paraId="22F175C0" w14:textId="77777777" w:rsidR="00585DD2" w:rsidRPr="003C7377" w:rsidRDefault="00585DD2" w:rsidP="00585DD2"/>
        </w:tc>
      </w:tr>
      <w:tr w:rsidR="00E14CD3" w:rsidRPr="00EF763E" w14:paraId="31E8DE18" w14:textId="77777777" w:rsidTr="00E14CD3">
        <w:tc>
          <w:tcPr>
            <w:tcW w:w="9016" w:type="dxa"/>
            <w:gridSpan w:val="2"/>
            <w:shd w:val="pct30" w:color="auto" w:fill="auto"/>
          </w:tcPr>
          <w:p w14:paraId="23D80948" w14:textId="77777777" w:rsidR="00E14CD3" w:rsidRPr="003C7377" w:rsidRDefault="00E14CD3" w:rsidP="001C7161">
            <w:pPr>
              <w:rPr>
                <w:b/>
              </w:rPr>
            </w:pPr>
            <w:r w:rsidRPr="003C7377">
              <w:rPr>
                <w:b/>
              </w:rPr>
              <w:lastRenderedPageBreak/>
              <w:t>QUARTER 2 (to 30/09/23)</w:t>
            </w:r>
          </w:p>
        </w:tc>
      </w:tr>
      <w:tr w:rsidR="00236442" w:rsidRPr="00EF763E" w14:paraId="240E6B0B" w14:textId="77777777" w:rsidTr="00236442">
        <w:tc>
          <w:tcPr>
            <w:tcW w:w="7366" w:type="dxa"/>
          </w:tcPr>
          <w:p w14:paraId="4D9D1320" w14:textId="77777777" w:rsidR="00236442" w:rsidRPr="003C7377" w:rsidRDefault="00236442" w:rsidP="00236442">
            <w:r w:rsidRPr="003C7377">
              <w:t>On Target ? (Yes = GREEN; Partial (e.g. milestones slipped) = AMBER, No = RED)</w:t>
            </w:r>
          </w:p>
        </w:tc>
        <w:tc>
          <w:tcPr>
            <w:tcW w:w="1650" w:type="dxa"/>
          </w:tcPr>
          <w:p w14:paraId="1DF39100" w14:textId="77777777" w:rsidR="00236442" w:rsidRPr="003C7377" w:rsidRDefault="00236442" w:rsidP="00236442"/>
        </w:tc>
      </w:tr>
      <w:tr w:rsidR="00236442" w:rsidRPr="00EF763E" w14:paraId="5C26B13F" w14:textId="77777777" w:rsidTr="00E14CD3">
        <w:tc>
          <w:tcPr>
            <w:tcW w:w="9016" w:type="dxa"/>
            <w:gridSpan w:val="2"/>
          </w:tcPr>
          <w:p w14:paraId="582D47C2" w14:textId="77777777" w:rsidR="00236442" w:rsidRPr="003C7377" w:rsidRDefault="00236442" w:rsidP="00236442">
            <w:r w:rsidRPr="003C7377">
              <w:t>Provide narrative below</w:t>
            </w:r>
          </w:p>
        </w:tc>
      </w:tr>
      <w:tr w:rsidR="00236442" w14:paraId="016D69F1" w14:textId="77777777" w:rsidTr="00E14CD3">
        <w:tc>
          <w:tcPr>
            <w:tcW w:w="9016" w:type="dxa"/>
            <w:gridSpan w:val="2"/>
          </w:tcPr>
          <w:p w14:paraId="536A9A92" w14:textId="77777777" w:rsidR="006006B5" w:rsidRPr="003C7377" w:rsidRDefault="006006B5" w:rsidP="00236442"/>
          <w:p w14:paraId="3BB8C754" w14:textId="77777777" w:rsidR="006006B5" w:rsidRPr="003C7377" w:rsidRDefault="006006B5" w:rsidP="00236442"/>
          <w:p w14:paraId="3AC3B7C2" w14:textId="77777777" w:rsidR="00236442" w:rsidRPr="003C7377" w:rsidRDefault="00236442" w:rsidP="00236442"/>
        </w:tc>
      </w:tr>
      <w:tr w:rsidR="00236442" w14:paraId="7810F2A5" w14:textId="77777777" w:rsidTr="00E14CD3">
        <w:tc>
          <w:tcPr>
            <w:tcW w:w="9016" w:type="dxa"/>
            <w:gridSpan w:val="2"/>
            <w:shd w:val="pct30" w:color="auto" w:fill="auto"/>
          </w:tcPr>
          <w:p w14:paraId="5D85FB92" w14:textId="77777777" w:rsidR="00236442" w:rsidRPr="00E14CD3" w:rsidRDefault="00236442" w:rsidP="00236442">
            <w:pPr>
              <w:rPr>
                <w:b/>
              </w:rPr>
            </w:pPr>
            <w:r>
              <w:rPr>
                <w:b/>
              </w:rPr>
              <w:t>QUARTER 3 (to 31/12/23)</w:t>
            </w:r>
          </w:p>
        </w:tc>
      </w:tr>
      <w:tr w:rsidR="00236442" w14:paraId="1FA285FE" w14:textId="77777777" w:rsidTr="00236442">
        <w:tc>
          <w:tcPr>
            <w:tcW w:w="7366" w:type="dxa"/>
          </w:tcPr>
          <w:p w14:paraId="3D398ABE" w14:textId="77777777" w:rsidR="00236442" w:rsidRDefault="00236442" w:rsidP="00236442">
            <w:r>
              <w:t>On Target ? (Yes = GREEN; Partial (e.g. milestones slipped) = AMBER, No = RED)</w:t>
            </w:r>
          </w:p>
        </w:tc>
        <w:tc>
          <w:tcPr>
            <w:tcW w:w="1650" w:type="dxa"/>
          </w:tcPr>
          <w:p w14:paraId="638C7CF4" w14:textId="77777777" w:rsidR="00236442" w:rsidRDefault="00236442" w:rsidP="00236442"/>
        </w:tc>
      </w:tr>
      <w:tr w:rsidR="00236442" w14:paraId="159101D1" w14:textId="77777777" w:rsidTr="00E14CD3">
        <w:tc>
          <w:tcPr>
            <w:tcW w:w="9016" w:type="dxa"/>
            <w:gridSpan w:val="2"/>
          </w:tcPr>
          <w:p w14:paraId="38FB2396" w14:textId="77777777" w:rsidR="00236442" w:rsidRDefault="00236442" w:rsidP="00236442">
            <w:r>
              <w:t>Provide narrative below</w:t>
            </w:r>
          </w:p>
        </w:tc>
      </w:tr>
      <w:tr w:rsidR="00236442" w14:paraId="431012A9" w14:textId="77777777" w:rsidTr="00E14CD3">
        <w:tc>
          <w:tcPr>
            <w:tcW w:w="9016" w:type="dxa"/>
            <w:gridSpan w:val="2"/>
          </w:tcPr>
          <w:p w14:paraId="76FF7DF9" w14:textId="77777777" w:rsidR="00490B30" w:rsidRDefault="00490B30" w:rsidP="00490B30"/>
          <w:p w14:paraId="4290AB80" w14:textId="77777777" w:rsidR="00236442" w:rsidRDefault="00236442" w:rsidP="00EC64CE"/>
        </w:tc>
      </w:tr>
      <w:tr w:rsidR="00236442" w14:paraId="138D815D" w14:textId="77777777" w:rsidTr="00E14CD3">
        <w:tc>
          <w:tcPr>
            <w:tcW w:w="9016" w:type="dxa"/>
            <w:gridSpan w:val="2"/>
            <w:shd w:val="pct30" w:color="auto" w:fill="auto"/>
          </w:tcPr>
          <w:p w14:paraId="5AA8A9F8" w14:textId="77777777" w:rsidR="00236442" w:rsidRPr="00E14CD3" w:rsidRDefault="00236442" w:rsidP="00236442">
            <w:pPr>
              <w:rPr>
                <w:b/>
              </w:rPr>
            </w:pPr>
            <w:r>
              <w:rPr>
                <w:b/>
              </w:rPr>
              <w:t>QUARTER 4 (to 31/03/23)</w:t>
            </w:r>
          </w:p>
        </w:tc>
      </w:tr>
      <w:tr w:rsidR="00236442" w14:paraId="1616225F" w14:textId="77777777" w:rsidTr="00236442">
        <w:tc>
          <w:tcPr>
            <w:tcW w:w="7366" w:type="dxa"/>
          </w:tcPr>
          <w:p w14:paraId="36A88056" w14:textId="77777777" w:rsidR="00236442" w:rsidRDefault="00236442" w:rsidP="00236442">
            <w:r>
              <w:t>On Target ? (Yes = GREEN; Partial (e.g. milestones slipped) = AMBER, No = RED)</w:t>
            </w:r>
          </w:p>
        </w:tc>
        <w:tc>
          <w:tcPr>
            <w:tcW w:w="1650" w:type="dxa"/>
          </w:tcPr>
          <w:p w14:paraId="79503BE1" w14:textId="77777777" w:rsidR="00236442" w:rsidRDefault="00236442" w:rsidP="00236442"/>
        </w:tc>
      </w:tr>
      <w:tr w:rsidR="00236442" w14:paraId="04069183" w14:textId="77777777" w:rsidTr="00E14CD3">
        <w:tc>
          <w:tcPr>
            <w:tcW w:w="9016" w:type="dxa"/>
            <w:gridSpan w:val="2"/>
          </w:tcPr>
          <w:p w14:paraId="6A316542" w14:textId="77777777" w:rsidR="00236442" w:rsidRDefault="00236442" w:rsidP="00236442">
            <w:r>
              <w:t>Provide narrative below</w:t>
            </w:r>
          </w:p>
        </w:tc>
      </w:tr>
      <w:tr w:rsidR="00236442" w14:paraId="0A28BB91" w14:textId="77777777" w:rsidTr="00E14CD3">
        <w:tc>
          <w:tcPr>
            <w:tcW w:w="9016" w:type="dxa"/>
            <w:gridSpan w:val="2"/>
          </w:tcPr>
          <w:p w14:paraId="0B08FDB9" w14:textId="77777777" w:rsidR="00236442" w:rsidRDefault="00236442" w:rsidP="00236442"/>
          <w:p w14:paraId="72FA5F59" w14:textId="77777777" w:rsidR="00236442" w:rsidRDefault="00236442" w:rsidP="00236442"/>
        </w:tc>
      </w:tr>
    </w:tbl>
    <w:p w14:paraId="57B0623F" w14:textId="77777777" w:rsidR="001C7161" w:rsidRDefault="001C7161" w:rsidP="001C7161"/>
    <w:p w14:paraId="24B5EA0C" w14:textId="77777777" w:rsidR="001C7161" w:rsidRDefault="001C7161" w:rsidP="001C7161"/>
    <w:p w14:paraId="71E09C0F" w14:textId="77777777" w:rsidR="001C7161" w:rsidRDefault="001C7161" w:rsidP="001C7161"/>
    <w:p w14:paraId="50CFD326" w14:textId="77777777" w:rsidR="001C7161" w:rsidRDefault="001C7161" w:rsidP="001C7161"/>
    <w:sectPr w:rsidR="001C7161" w:rsidSect="0020232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66AF" w14:textId="77777777" w:rsidR="00BE57AB" w:rsidRDefault="00BE57AB" w:rsidP="00C8075A">
      <w:pPr>
        <w:spacing w:after="0" w:line="240" w:lineRule="auto"/>
      </w:pPr>
      <w:r>
        <w:separator/>
      </w:r>
    </w:p>
  </w:endnote>
  <w:endnote w:type="continuationSeparator" w:id="0">
    <w:p w14:paraId="6E1A52CD" w14:textId="77777777" w:rsidR="00BE57AB" w:rsidRDefault="00BE57AB"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C961" w14:textId="77777777" w:rsidR="00BE57AB" w:rsidRDefault="00BE57AB" w:rsidP="00C8075A">
      <w:pPr>
        <w:spacing w:after="0" w:line="240" w:lineRule="auto"/>
      </w:pPr>
      <w:r>
        <w:separator/>
      </w:r>
    </w:p>
  </w:footnote>
  <w:footnote w:type="continuationSeparator" w:id="0">
    <w:p w14:paraId="4D4CC158" w14:textId="77777777" w:rsidR="00BE57AB" w:rsidRDefault="00BE57AB"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3E08" w14:textId="7325C424" w:rsidR="00CA5273" w:rsidRDefault="00CA5273">
    <w:pPr>
      <w:pStyle w:val="Header"/>
    </w:pPr>
  </w:p>
  <w:p w14:paraId="519C602C" w14:textId="77777777" w:rsidR="00CA5273" w:rsidRPr="00C8075A" w:rsidRDefault="00CA5273" w:rsidP="00CA5273">
    <w:pPr>
      <w:pStyle w:val="Header"/>
      <w:jc w:val="center"/>
      <w:rPr>
        <w:b/>
        <w:sz w:val="24"/>
        <w:szCs w:val="24"/>
      </w:rPr>
    </w:pPr>
    <w:r>
      <w:rPr>
        <w:b/>
        <w:sz w:val="24"/>
        <w:szCs w:val="24"/>
      </w:rPr>
      <w:t>Deficit Recovery Plan</w:t>
    </w:r>
  </w:p>
  <w:p w14:paraId="77224958" w14:textId="77777777" w:rsidR="00C8075A" w:rsidRPr="00C8075A" w:rsidRDefault="00C8075A" w:rsidP="00C8075A">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073"/>
    <w:multiLevelType w:val="hybridMultilevel"/>
    <w:tmpl w:val="6D84F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4170"/>
    <w:multiLevelType w:val="hybridMultilevel"/>
    <w:tmpl w:val="4F0C07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2D49C1"/>
    <w:multiLevelType w:val="hybridMultilevel"/>
    <w:tmpl w:val="A74A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80D21"/>
    <w:multiLevelType w:val="hybridMultilevel"/>
    <w:tmpl w:val="BE08B7E0"/>
    <w:lvl w:ilvl="0" w:tplc="8280DD10">
      <w:start w:val="1"/>
      <w:numFmt w:val="bullet"/>
      <w:lvlText w:val="•"/>
      <w:lvlJc w:val="left"/>
      <w:pPr>
        <w:tabs>
          <w:tab w:val="num" w:pos="720"/>
        </w:tabs>
        <w:ind w:left="720" w:hanging="360"/>
      </w:pPr>
      <w:rPr>
        <w:rFonts w:ascii="Arial" w:hAnsi="Arial" w:hint="default"/>
      </w:rPr>
    </w:lvl>
    <w:lvl w:ilvl="1" w:tplc="48BA79E2" w:tentative="1">
      <w:start w:val="1"/>
      <w:numFmt w:val="bullet"/>
      <w:lvlText w:val="•"/>
      <w:lvlJc w:val="left"/>
      <w:pPr>
        <w:tabs>
          <w:tab w:val="num" w:pos="1440"/>
        </w:tabs>
        <w:ind w:left="1440" w:hanging="360"/>
      </w:pPr>
      <w:rPr>
        <w:rFonts w:ascii="Arial" w:hAnsi="Arial" w:hint="default"/>
      </w:rPr>
    </w:lvl>
    <w:lvl w:ilvl="2" w:tplc="6E40F0E6" w:tentative="1">
      <w:start w:val="1"/>
      <w:numFmt w:val="bullet"/>
      <w:lvlText w:val="•"/>
      <w:lvlJc w:val="left"/>
      <w:pPr>
        <w:tabs>
          <w:tab w:val="num" w:pos="2160"/>
        </w:tabs>
        <w:ind w:left="2160" w:hanging="360"/>
      </w:pPr>
      <w:rPr>
        <w:rFonts w:ascii="Arial" w:hAnsi="Arial" w:hint="default"/>
      </w:rPr>
    </w:lvl>
    <w:lvl w:ilvl="3" w:tplc="5F4AEE34" w:tentative="1">
      <w:start w:val="1"/>
      <w:numFmt w:val="bullet"/>
      <w:lvlText w:val="•"/>
      <w:lvlJc w:val="left"/>
      <w:pPr>
        <w:tabs>
          <w:tab w:val="num" w:pos="2880"/>
        </w:tabs>
        <w:ind w:left="2880" w:hanging="360"/>
      </w:pPr>
      <w:rPr>
        <w:rFonts w:ascii="Arial" w:hAnsi="Arial" w:hint="default"/>
      </w:rPr>
    </w:lvl>
    <w:lvl w:ilvl="4" w:tplc="DFEA9EB2" w:tentative="1">
      <w:start w:val="1"/>
      <w:numFmt w:val="bullet"/>
      <w:lvlText w:val="•"/>
      <w:lvlJc w:val="left"/>
      <w:pPr>
        <w:tabs>
          <w:tab w:val="num" w:pos="3600"/>
        </w:tabs>
        <w:ind w:left="3600" w:hanging="360"/>
      </w:pPr>
      <w:rPr>
        <w:rFonts w:ascii="Arial" w:hAnsi="Arial" w:hint="default"/>
      </w:rPr>
    </w:lvl>
    <w:lvl w:ilvl="5" w:tplc="A63E012E" w:tentative="1">
      <w:start w:val="1"/>
      <w:numFmt w:val="bullet"/>
      <w:lvlText w:val="•"/>
      <w:lvlJc w:val="left"/>
      <w:pPr>
        <w:tabs>
          <w:tab w:val="num" w:pos="4320"/>
        </w:tabs>
        <w:ind w:left="4320" w:hanging="360"/>
      </w:pPr>
      <w:rPr>
        <w:rFonts w:ascii="Arial" w:hAnsi="Arial" w:hint="default"/>
      </w:rPr>
    </w:lvl>
    <w:lvl w:ilvl="6" w:tplc="C00AF7F0" w:tentative="1">
      <w:start w:val="1"/>
      <w:numFmt w:val="bullet"/>
      <w:lvlText w:val="•"/>
      <w:lvlJc w:val="left"/>
      <w:pPr>
        <w:tabs>
          <w:tab w:val="num" w:pos="5040"/>
        </w:tabs>
        <w:ind w:left="5040" w:hanging="360"/>
      </w:pPr>
      <w:rPr>
        <w:rFonts w:ascii="Arial" w:hAnsi="Arial" w:hint="default"/>
      </w:rPr>
    </w:lvl>
    <w:lvl w:ilvl="7" w:tplc="639499DE" w:tentative="1">
      <w:start w:val="1"/>
      <w:numFmt w:val="bullet"/>
      <w:lvlText w:val="•"/>
      <w:lvlJc w:val="left"/>
      <w:pPr>
        <w:tabs>
          <w:tab w:val="num" w:pos="5760"/>
        </w:tabs>
        <w:ind w:left="5760" w:hanging="360"/>
      </w:pPr>
      <w:rPr>
        <w:rFonts w:ascii="Arial" w:hAnsi="Arial" w:hint="default"/>
      </w:rPr>
    </w:lvl>
    <w:lvl w:ilvl="8" w:tplc="40BCCF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047D4E"/>
    <w:multiLevelType w:val="hybridMultilevel"/>
    <w:tmpl w:val="F2C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60B32"/>
    <w:multiLevelType w:val="hybridMultilevel"/>
    <w:tmpl w:val="F4A63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4C61"/>
    <w:multiLevelType w:val="hybridMultilevel"/>
    <w:tmpl w:val="40742E40"/>
    <w:lvl w:ilvl="0" w:tplc="F4748F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4C5284"/>
    <w:multiLevelType w:val="hybridMultilevel"/>
    <w:tmpl w:val="18E2F1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C86A0E"/>
    <w:multiLevelType w:val="hybridMultilevel"/>
    <w:tmpl w:val="EE62C96A"/>
    <w:lvl w:ilvl="0" w:tplc="25C694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0535983">
    <w:abstractNumId w:val="3"/>
  </w:num>
  <w:num w:numId="2" w16cid:durableId="497574195">
    <w:abstractNumId w:val="8"/>
  </w:num>
  <w:num w:numId="3" w16cid:durableId="666522684">
    <w:abstractNumId w:val="4"/>
  </w:num>
  <w:num w:numId="4" w16cid:durableId="683289120">
    <w:abstractNumId w:val="7"/>
  </w:num>
  <w:num w:numId="5" w16cid:durableId="45682832">
    <w:abstractNumId w:val="10"/>
  </w:num>
  <w:num w:numId="6" w16cid:durableId="32274924">
    <w:abstractNumId w:val="9"/>
  </w:num>
  <w:num w:numId="7" w16cid:durableId="1816868373">
    <w:abstractNumId w:val="1"/>
  </w:num>
  <w:num w:numId="8" w16cid:durableId="494106380">
    <w:abstractNumId w:val="11"/>
  </w:num>
  <w:num w:numId="9" w16cid:durableId="1735348666">
    <w:abstractNumId w:val="0"/>
  </w:num>
  <w:num w:numId="10" w16cid:durableId="423840313">
    <w:abstractNumId w:val="2"/>
  </w:num>
  <w:num w:numId="11" w16cid:durableId="1350911799">
    <w:abstractNumId w:val="6"/>
  </w:num>
  <w:num w:numId="12" w16cid:durableId="641891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D0"/>
    <w:rsid w:val="00010C67"/>
    <w:rsid w:val="00034F26"/>
    <w:rsid w:val="00043D3A"/>
    <w:rsid w:val="00073FBC"/>
    <w:rsid w:val="000C4A54"/>
    <w:rsid w:val="000D140F"/>
    <w:rsid w:val="000D4404"/>
    <w:rsid w:val="000D72CC"/>
    <w:rsid w:val="000E4017"/>
    <w:rsid w:val="00103F30"/>
    <w:rsid w:val="00111D84"/>
    <w:rsid w:val="001127DB"/>
    <w:rsid w:val="0012558D"/>
    <w:rsid w:val="00151F88"/>
    <w:rsid w:val="00152A29"/>
    <w:rsid w:val="00172B19"/>
    <w:rsid w:val="001805B0"/>
    <w:rsid w:val="001A3F78"/>
    <w:rsid w:val="001C7161"/>
    <w:rsid w:val="001D3448"/>
    <w:rsid w:val="00202326"/>
    <w:rsid w:val="00204C48"/>
    <w:rsid w:val="0022030B"/>
    <w:rsid w:val="0022135F"/>
    <w:rsid w:val="0022635D"/>
    <w:rsid w:val="002313AA"/>
    <w:rsid w:val="00236442"/>
    <w:rsid w:val="0025369A"/>
    <w:rsid w:val="00273B5D"/>
    <w:rsid w:val="00284AB8"/>
    <w:rsid w:val="002941D5"/>
    <w:rsid w:val="002949A8"/>
    <w:rsid w:val="002D3357"/>
    <w:rsid w:val="002D398A"/>
    <w:rsid w:val="00307081"/>
    <w:rsid w:val="00354114"/>
    <w:rsid w:val="00362449"/>
    <w:rsid w:val="0036713C"/>
    <w:rsid w:val="00375C1E"/>
    <w:rsid w:val="0037773E"/>
    <w:rsid w:val="00377DD4"/>
    <w:rsid w:val="00397172"/>
    <w:rsid w:val="003A37F8"/>
    <w:rsid w:val="003C7377"/>
    <w:rsid w:val="003F009F"/>
    <w:rsid w:val="003F0D05"/>
    <w:rsid w:val="00415083"/>
    <w:rsid w:val="00441602"/>
    <w:rsid w:val="004563F3"/>
    <w:rsid w:val="00461F70"/>
    <w:rsid w:val="004756AD"/>
    <w:rsid w:val="00486605"/>
    <w:rsid w:val="00490B30"/>
    <w:rsid w:val="00493F88"/>
    <w:rsid w:val="004B0F57"/>
    <w:rsid w:val="004B4D8E"/>
    <w:rsid w:val="004B587C"/>
    <w:rsid w:val="004C36B2"/>
    <w:rsid w:val="004E4824"/>
    <w:rsid w:val="0051768E"/>
    <w:rsid w:val="00527FC7"/>
    <w:rsid w:val="00532AB5"/>
    <w:rsid w:val="00567F40"/>
    <w:rsid w:val="0057662D"/>
    <w:rsid w:val="00582951"/>
    <w:rsid w:val="00585DD2"/>
    <w:rsid w:val="00590324"/>
    <w:rsid w:val="005B2583"/>
    <w:rsid w:val="005C1CFC"/>
    <w:rsid w:val="005D4129"/>
    <w:rsid w:val="005D70F2"/>
    <w:rsid w:val="005E3414"/>
    <w:rsid w:val="006006B5"/>
    <w:rsid w:val="00600B96"/>
    <w:rsid w:val="0063084C"/>
    <w:rsid w:val="00681EDB"/>
    <w:rsid w:val="006B4021"/>
    <w:rsid w:val="006F0783"/>
    <w:rsid w:val="006F1CDE"/>
    <w:rsid w:val="00703254"/>
    <w:rsid w:val="0070759F"/>
    <w:rsid w:val="00711B3F"/>
    <w:rsid w:val="00713728"/>
    <w:rsid w:val="00714D2B"/>
    <w:rsid w:val="00716991"/>
    <w:rsid w:val="00723805"/>
    <w:rsid w:val="00731447"/>
    <w:rsid w:val="00733F0F"/>
    <w:rsid w:val="00753428"/>
    <w:rsid w:val="007550ED"/>
    <w:rsid w:val="00756853"/>
    <w:rsid w:val="007737AC"/>
    <w:rsid w:val="007741E8"/>
    <w:rsid w:val="00782B52"/>
    <w:rsid w:val="0079117D"/>
    <w:rsid w:val="007A17E7"/>
    <w:rsid w:val="007C6772"/>
    <w:rsid w:val="007D7D31"/>
    <w:rsid w:val="00813604"/>
    <w:rsid w:val="00815911"/>
    <w:rsid w:val="00817E86"/>
    <w:rsid w:val="00836752"/>
    <w:rsid w:val="0085338A"/>
    <w:rsid w:val="008B7939"/>
    <w:rsid w:val="008E4FEF"/>
    <w:rsid w:val="0091177F"/>
    <w:rsid w:val="009142D5"/>
    <w:rsid w:val="009207C5"/>
    <w:rsid w:val="00922EB5"/>
    <w:rsid w:val="009268DE"/>
    <w:rsid w:val="00927DAB"/>
    <w:rsid w:val="00934A9D"/>
    <w:rsid w:val="00961F80"/>
    <w:rsid w:val="00976486"/>
    <w:rsid w:val="00977111"/>
    <w:rsid w:val="00980041"/>
    <w:rsid w:val="00986A8B"/>
    <w:rsid w:val="0099422E"/>
    <w:rsid w:val="009A014D"/>
    <w:rsid w:val="009B234A"/>
    <w:rsid w:val="009B2479"/>
    <w:rsid w:val="009B64B4"/>
    <w:rsid w:val="009C3BBE"/>
    <w:rsid w:val="009C4A49"/>
    <w:rsid w:val="009C6FD0"/>
    <w:rsid w:val="009E2F53"/>
    <w:rsid w:val="009F3C23"/>
    <w:rsid w:val="00A2383B"/>
    <w:rsid w:val="00A36498"/>
    <w:rsid w:val="00A75B63"/>
    <w:rsid w:val="00AB78A4"/>
    <w:rsid w:val="00AC1350"/>
    <w:rsid w:val="00AD0FCC"/>
    <w:rsid w:val="00AD7C25"/>
    <w:rsid w:val="00AE05F2"/>
    <w:rsid w:val="00AE3C89"/>
    <w:rsid w:val="00AF501C"/>
    <w:rsid w:val="00B042E5"/>
    <w:rsid w:val="00B15DFD"/>
    <w:rsid w:val="00B32C39"/>
    <w:rsid w:val="00B43AB3"/>
    <w:rsid w:val="00B6586A"/>
    <w:rsid w:val="00B80635"/>
    <w:rsid w:val="00B931CB"/>
    <w:rsid w:val="00BA1B84"/>
    <w:rsid w:val="00BC5910"/>
    <w:rsid w:val="00BE57AB"/>
    <w:rsid w:val="00C07A96"/>
    <w:rsid w:val="00C16F10"/>
    <w:rsid w:val="00C33AB5"/>
    <w:rsid w:val="00C4344B"/>
    <w:rsid w:val="00C5744E"/>
    <w:rsid w:val="00C70A3A"/>
    <w:rsid w:val="00C70FF4"/>
    <w:rsid w:val="00C8075A"/>
    <w:rsid w:val="00C84036"/>
    <w:rsid w:val="00C84C91"/>
    <w:rsid w:val="00CA5273"/>
    <w:rsid w:val="00CC2AAC"/>
    <w:rsid w:val="00CE7167"/>
    <w:rsid w:val="00CF02F5"/>
    <w:rsid w:val="00CF1E61"/>
    <w:rsid w:val="00D054C8"/>
    <w:rsid w:val="00D121BF"/>
    <w:rsid w:val="00D1222F"/>
    <w:rsid w:val="00D172E0"/>
    <w:rsid w:val="00D17CF3"/>
    <w:rsid w:val="00D73376"/>
    <w:rsid w:val="00D87366"/>
    <w:rsid w:val="00D906FC"/>
    <w:rsid w:val="00D95135"/>
    <w:rsid w:val="00DC04C5"/>
    <w:rsid w:val="00DD6CF9"/>
    <w:rsid w:val="00DE56EC"/>
    <w:rsid w:val="00E14CD3"/>
    <w:rsid w:val="00E71DFD"/>
    <w:rsid w:val="00E84F8B"/>
    <w:rsid w:val="00E96FCA"/>
    <w:rsid w:val="00EA225F"/>
    <w:rsid w:val="00EA68FC"/>
    <w:rsid w:val="00EC64CE"/>
    <w:rsid w:val="00EC7EBD"/>
    <w:rsid w:val="00ED4EA8"/>
    <w:rsid w:val="00EF763E"/>
    <w:rsid w:val="00F13242"/>
    <w:rsid w:val="00F30F79"/>
    <w:rsid w:val="00F36050"/>
    <w:rsid w:val="00F72346"/>
    <w:rsid w:val="00F73FD0"/>
    <w:rsid w:val="00F77F69"/>
    <w:rsid w:val="00F8726D"/>
    <w:rsid w:val="00F90BBB"/>
    <w:rsid w:val="00F93774"/>
    <w:rsid w:val="00FC5999"/>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5E8107"/>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309133589">
      <w:bodyDiv w:val="1"/>
      <w:marLeft w:val="0"/>
      <w:marRight w:val="0"/>
      <w:marTop w:val="0"/>
      <w:marBottom w:val="0"/>
      <w:divBdr>
        <w:top w:val="none" w:sz="0" w:space="0" w:color="auto"/>
        <w:left w:val="none" w:sz="0" w:space="0" w:color="auto"/>
        <w:bottom w:val="none" w:sz="0" w:space="0" w:color="auto"/>
        <w:right w:val="none" w:sz="0" w:space="0" w:color="auto"/>
      </w:divBdr>
    </w:div>
    <w:div w:id="322851945">
      <w:bodyDiv w:val="1"/>
      <w:marLeft w:val="0"/>
      <w:marRight w:val="0"/>
      <w:marTop w:val="0"/>
      <w:marBottom w:val="0"/>
      <w:divBdr>
        <w:top w:val="none" w:sz="0" w:space="0" w:color="auto"/>
        <w:left w:val="none" w:sz="0" w:space="0" w:color="auto"/>
        <w:bottom w:val="none" w:sz="0" w:space="0" w:color="auto"/>
        <w:right w:val="none" w:sz="0" w:space="0" w:color="auto"/>
      </w:divBdr>
    </w:div>
    <w:div w:id="582879412">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567450683">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768769886">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Iqbal, Atif</cp:lastModifiedBy>
  <cp:revision>10</cp:revision>
  <dcterms:created xsi:type="dcterms:W3CDTF">2023-09-20T22:23:00Z</dcterms:created>
  <dcterms:modified xsi:type="dcterms:W3CDTF">2024-01-19T16:09:00Z</dcterms:modified>
</cp:coreProperties>
</file>