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6469"/>
      </w:tblGrid>
      <w:tr w:rsidR="001C7161" w14:paraId="601FD98B" w14:textId="77777777" w:rsidTr="00010C67">
        <w:tc>
          <w:tcPr>
            <w:tcW w:w="2547" w:type="dxa"/>
          </w:tcPr>
          <w:p w14:paraId="7C6B0AD8" w14:textId="77777777" w:rsidR="001C7161" w:rsidRPr="009E2F53" w:rsidRDefault="00010C67" w:rsidP="001C7161">
            <w:pPr>
              <w:rPr>
                <w:b/>
              </w:rPr>
            </w:pPr>
            <w:r>
              <w:rPr>
                <w:b/>
              </w:rPr>
              <w:t>Directorate</w:t>
            </w:r>
          </w:p>
        </w:tc>
        <w:tc>
          <w:tcPr>
            <w:tcW w:w="6469" w:type="dxa"/>
          </w:tcPr>
          <w:p w14:paraId="318BED6A" w14:textId="77777777" w:rsidR="001C7161" w:rsidRPr="00ED4EA8" w:rsidRDefault="00C70FF4" w:rsidP="001C7161">
            <w:r w:rsidRPr="00ED4EA8">
              <w:t>Children, Families &amp; Education</w:t>
            </w:r>
          </w:p>
        </w:tc>
      </w:tr>
      <w:tr w:rsidR="00A2383B" w14:paraId="528679B1" w14:textId="77777777" w:rsidTr="00010C67">
        <w:trPr>
          <w:trHeight w:val="277"/>
        </w:trPr>
        <w:tc>
          <w:tcPr>
            <w:tcW w:w="2547" w:type="dxa"/>
          </w:tcPr>
          <w:p w14:paraId="40E981C3" w14:textId="77777777" w:rsidR="00A2383B" w:rsidRDefault="00A2383B" w:rsidP="001C7161">
            <w:pPr>
              <w:rPr>
                <w:b/>
              </w:rPr>
            </w:pPr>
            <w:r>
              <w:rPr>
                <w:b/>
              </w:rPr>
              <w:t>Combined Tracker Ref.</w:t>
            </w:r>
          </w:p>
        </w:tc>
        <w:tc>
          <w:tcPr>
            <w:tcW w:w="6469" w:type="dxa"/>
          </w:tcPr>
          <w:p w14:paraId="5923EEA1" w14:textId="77777777" w:rsidR="00A2383B" w:rsidRPr="00ED4EA8" w:rsidRDefault="00C70FF4" w:rsidP="001C7161">
            <w:r w:rsidRPr="00ED4EA8">
              <w:t>SD/23/001</w:t>
            </w:r>
          </w:p>
        </w:tc>
      </w:tr>
      <w:tr w:rsidR="001C7161" w14:paraId="1C0E3697" w14:textId="77777777" w:rsidTr="00010C67">
        <w:trPr>
          <w:trHeight w:val="277"/>
        </w:trPr>
        <w:tc>
          <w:tcPr>
            <w:tcW w:w="2547" w:type="dxa"/>
          </w:tcPr>
          <w:p w14:paraId="0BF76806" w14:textId="77777777" w:rsidR="001C7161" w:rsidRPr="009E2F53" w:rsidRDefault="00010C67" w:rsidP="001C7161">
            <w:pPr>
              <w:rPr>
                <w:b/>
              </w:rPr>
            </w:pPr>
            <w:r>
              <w:rPr>
                <w:b/>
              </w:rPr>
              <w:t>Service Director</w:t>
            </w:r>
          </w:p>
        </w:tc>
        <w:tc>
          <w:tcPr>
            <w:tcW w:w="6469" w:type="dxa"/>
          </w:tcPr>
          <w:p w14:paraId="2D5E7729" w14:textId="3AA02B12" w:rsidR="001C7161" w:rsidRPr="00ED4EA8" w:rsidRDefault="00254002" w:rsidP="001C7161">
            <w:r>
              <w:t>Paul Wagstaff and Sue Frost</w:t>
            </w:r>
          </w:p>
        </w:tc>
      </w:tr>
      <w:tr w:rsidR="001C7161" w14:paraId="5AFE13C1" w14:textId="77777777" w:rsidTr="00010C67">
        <w:tc>
          <w:tcPr>
            <w:tcW w:w="2547" w:type="dxa"/>
          </w:tcPr>
          <w:p w14:paraId="6850F866" w14:textId="77777777" w:rsidR="001C7161" w:rsidRPr="009E2F53" w:rsidRDefault="00010C67" w:rsidP="001C7161">
            <w:pPr>
              <w:rPr>
                <w:b/>
              </w:rPr>
            </w:pPr>
            <w:r>
              <w:rPr>
                <w:b/>
              </w:rPr>
              <w:t>Service Area</w:t>
            </w:r>
          </w:p>
        </w:tc>
        <w:tc>
          <w:tcPr>
            <w:tcW w:w="6469" w:type="dxa"/>
          </w:tcPr>
          <w:p w14:paraId="05564E14" w14:textId="77777777" w:rsidR="001C7161" w:rsidRPr="00ED4EA8" w:rsidRDefault="00C70FF4" w:rsidP="001C7161">
            <w:r w:rsidRPr="00ED4EA8">
              <w:t>SEND Transport</w:t>
            </w:r>
            <w:r w:rsidR="00F72346" w:rsidRPr="00ED4EA8">
              <w:t xml:space="preserve"> Overspend</w:t>
            </w:r>
          </w:p>
        </w:tc>
      </w:tr>
      <w:tr w:rsidR="001C7161" w14:paraId="1563E51F" w14:textId="77777777" w:rsidTr="00010C67">
        <w:trPr>
          <w:trHeight w:val="276"/>
        </w:trPr>
        <w:tc>
          <w:tcPr>
            <w:tcW w:w="2547" w:type="dxa"/>
          </w:tcPr>
          <w:p w14:paraId="6048BFAF" w14:textId="77777777" w:rsidR="001C7161" w:rsidRPr="009E2F53" w:rsidRDefault="00010C67" w:rsidP="001C7161">
            <w:pPr>
              <w:rPr>
                <w:b/>
              </w:rPr>
            </w:pPr>
            <w:r>
              <w:rPr>
                <w:b/>
              </w:rPr>
              <w:t>Service Manager</w:t>
            </w:r>
          </w:p>
        </w:tc>
        <w:tc>
          <w:tcPr>
            <w:tcW w:w="6469" w:type="dxa"/>
          </w:tcPr>
          <w:p w14:paraId="61EE7DFB" w14:textId="77777777" w:rsidR="001C7161" w:rsidRPr="00ED4EA8" w:rsidRDefault="0036713C" w:rsidP="00BA1B84">
            <w:r w:rsidRPr="00ED4EA8">
              <w:t>Debbie Craig &amp; Shaun Askins</w:t>
            </w:r>
          </w:p>
        </w:tc>
      </w:tr>
      <w:tr w:rsidR="009B234A" w14:paraId="155C9982" w14:textId="77777777" w:rsidTr="00010C67">
        <w:trPr>
          <w:trHeight w:val="276"/>
        </w:trPr>
        <w:tc>
          <w:tcPr>
            <w:tcW w:w="2547" w:type="dxa"/>
          </w:tcPr>
          <w:p w14:paraId="34598F0F" w14:textId="77777777" w:rsidR="009B234A" w:rsidRDefault="009B234A" w:rsidP="001C7161">
            <w:pPr>
              <w:rPr>
                <w:b/>
              </w:rPr>
            </w:pPr>
            <w:r>
              <w:rPr>
                <w:b/>
              </w:rPr>
              <w:t>Activity/Cost centres</w:t>
            </w:r>
          </w:p>
        </w:tc>
        <w:tc>
          <w:tcPr>
            <w:tcW w:w="6469" w:type="dxa"/>
          </w:tcPr>
          <w:p w14:paraId="6AD20026" w14:textId="77777777" w:rsidR="009B234A" w:rsidRPr="00ED4EA8" w:rsidRDefault="0036713C" w:rsidP="00111D84">
            <w:r w:rsidRPr="00ED4EA8">
              <w:t>EE3241, EE3242,</w:t>
            </w:r>
            <w:r w:rsidR="00ED4EA8" w:rsidRPr="00ED4EA8">
              <w:t xml:space="preserve"> EE3243,</w:t>
            </w:r>
            <w:r w:rsidRPr="00ED4EA8">
              <w:t xml:space="preserve"> EK7100, EK7213, EK7321, EK7324,</w:t>
            </w:r>
            <w:r w:rsidR="00ED4EA8" w:rsidRPr="00ED4EA8">
              <w:t xml:space="preserve"> EK7328</w:t>
            </w:r>
            <w:r w:rsidRPr="00ED4EA8">
              <w:t xml:space="preserve"> EL7572</w:t>
            </w:r>
          </w:p>
        </w:tc>
      </w:tr>
      <w:tr w:rsidR="009B234A" w14:paraId="4539D356" w14:textId="77777777" w:rsidTr="00010C67">
        <w:trPr>
          <w:trHeight w:val="276"/>
        </w:trPr>
        <w:tc>
          <w:tcPr>
            <w:tcW w:w="2547" w:type="dxa"/>
          </w:tcPr>
          <w:p w14:paraId="1C79D2B1" w14:textId="77777777" w:rsidR="009B234A" w:rsidRDefault="009B234A" w:rsidP="001C7161">
            <w:pPr>
              <w:rPr>
                <w:b/>
              </w:rPr>
            </w:pPr>
            <w:r>
              <w:rPr>
                <w:b/>
              </w:rPr>
              <w:t>22/23 Budget £’000</w:t>
            </w:r>
          </w:p>
        </w:tc>
        <w:tc>
          <w:tcPr>
            <w:tcW w:w="6469" w:type="dxa"/>
          </w:tcPr>
          <w:p w14:paraId="08948833" w14:textId="4B8F2A1A" w:rsidR="009B234A" w:rsidRPr="00ED4EA8" w:rsidRDefault="0037600F" w:rsidP="00977111">
            <w:r>
              <w:t>5,258</w:t>
            </w:r>
          </w:p>
        </w:tc>
      </w:tr>
      <w:tr w:rsidR="009B234A" w14:paraId="6E0A97EE" w14:textId="77777777" w:rsidTr="00010C67">
        <w:trPr>
          <w:trHeight w:val="276"/>
        </w:trPr>
        <w:tc>
          <w:tcPr>
            <w:tcW w:w="2547" w:type="dxa"/>
          </w:tcPr>
          <w:p w14:paraId="566D56AB" w14:textId="77777777" w:rsidR="009B234A" w:rsidRDefault="009B234A" w:rsidP="001C7161">
            <w:pPr>
              <w:rPr>
                <w:b/>
              </w:rPr>
            </w:pPr>
            <w:r>
              <w:rPr>
                <w:b/>
              </w:rPr>
              <w:t>22/23 Outturn £’000</w:t>
            </w:r>
          </w:p>
        </w:tc>
        <w:tc>
          <w:tcPr>
            <w:tcW w:w="6469" w:type="dxa"/>
          </w:tcPr>
          <w:p w14:paraId="3BA2C273" w14:textId="4E4F015C" w:rsidR="009B234A" w:rsidRPr="00ED4EA8" w:rsidRDefault="0037600F" w:rsidP="00977111">
            <w:r>
              <w:t>7,295 (£2,039 overspend)</w:t>
            </w:r>
          </w:p>
        </w:tc>
      </w:tr>
      <w:tr w:rsidR="009B234A" w14:paraId="71E92010" w14:textId="77777777" w:rsidTr="00010C67">
        <w:trPr>
          <w:trHeight w:val="276"/>
        </w:trPr>
        <w:tc>
          <w:tcPr>
            <w:tcW w:w="2547" w:type="dxa"/>
          </w:tcPr>
          <w:p w14:paraId="277383B8" w14:textId="77777777" w:rsidR="009B234A" w:rsidRDefault="009B234A" w:rsidP="001C7161">
            <w:pPr>
              <w:rPr>
                <w:b/>
              </w:rPr>
            </w:pPr>
            <w:r>
              <w:rPr>
                <w:b/>
              </w:rPr>
              <w:t>23/24 Budget £’000</w:t>
            </w:r>
          </w:p>
        </w:tc>
        <w:tc>
          <w:tcPr>
            <w:tcW w:w="6469" w:type="dxa"/>
          </w:tcPr>
          <w:p w14:paraId="1590DFDF" w14:textId="57C870C0" w:rsidR="009B234A" w:rsidRPr="00ED4EA8" w:rsidRDefault="0036713C" w:rsidP="00F30F79">
            <w:r w:rsidRPr="00ED4EA8">
              <w:t>6,63</w:t>
            </w:r>
            <w:r w:rsidR="0037600F">
              <w:t>7</w:t>
            </w:r>
            <w:r w:rsidR="00B742C6">
              <w:t xml:space="preserve"> (both external and in-house)</w:t>
            </w:r>
          </w:p>
        </w:tc>
      </w:tr>
      <w:tr w:rsidR="00010C67" w14:paraId="02985EA2" w14:textId="77777777" w:rsidTr="00010C67">
        <w:trPr>
          <w:trHeight w:val="276"/>
        </w:trPr>
        <w:tc>
          <w:tcPr>
            <w:tcW w:w="2547" w:type="dxa"/>
          </w:tcPr>
          <w:p w14:paraId="177FEC8B" w14:textId="77777777"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6944770F" w14:textId="353F52A1" w:rsidR="00ED4EA8" w:rsidRPr="00ED4EA8" w:rsidRDefault="00B742C6" w:rsidP="00ED4EA8">
            <w:r>
              <w:t xml:space="preserve">Q3 is projecting an underspend in-house provision of £432k while externally commissioned transport is projecting £1.477m overspend so a net </w:t>
            </w:r>
            <w:r w:rsidR="0037600F">
              <w:t>£</w:t>
            </w:r>
            <w:r>
              <w:t>1.045m</w:t>
            </w:r>
            <w:r w:rsidR="0037600F">
              <w:t xml:space="preserve"> </w:t>
            </w:r>
            <w:r>
              <w:t xml:space="preserve">projected overspend is being reported in Q3 </w:t>
            </w:r>
            <w:r w:rsidR="0037600F">
              <w:t>(a</w:t>
            </w:r>
            <w:r>
              <w:t>n increase of circa £462k as compared to Q2, mainly in SEND external transport commissioning)</w:t>
            </w:r>
          </w:p>
        </w:tc>
      </w:tr>
    </w:tbl>
    <w:p w14:paraId="2A731AB6" w14:textId="77777777" w:rsidR="001C7161" w:rsidRDefault="001C7161" w:rsidP="001C7161"/>
    <w:tbl>
      <w:tblPr>
        <w:tblStyle w:val="TableGrid"/>
        <w:tblW w:w="0" w:type="auto"/>
        <w:tblLook w:val="04A0" w:firstRow="1" w:lastRow="0" w:firstColumn="1" w:lastColumn="0" w:noHBand="0" w:noVBand="1"/>
      </w:tblPr>
      <w:tblGrid>
        <w:gridCol w:w="9016"/>
      </w:tblGrid>
      <w:tr w:rsidR="001C7161" w:rsidRPr="00ED60EA" w14:paraId="50F95340" w14:textId="77777777" w:rsidTr="001C7161">
        <w:tc>
          <w:tcPr>
            <w:tcW w:w="9242" w:type="dxa"/>
          </w:tcPr>
          <w:p w14:paraId="1CD471E4" w14:textId="77777777" w:rsidR="001C7161" w:rsidRPr="00912D5D" w:rsidRDefault="00010C67" w:rsidP="001C7161">
            <w:pPr>
              <w:rPr>
                <w:rFonts w:asciiTheme="minorHAnsi" w:hAnsiTheme="minorHAnsi" w:cstheme="minorHAnsi"/>
              </w:rPr>
            </w:pPr>
            <w:r w:rsidRPr="00912D5D">
              <w:rPr>
                <w:rFonts w:asciiTheme="minorHAnsi" w:hAnsiTheme="minorHAnsi" w:cstheme="minorHAnsi"/>
              </w:rPr>
              <w:t>Explain the context behind th</w:t>
            </w:r>
            <w:r w:rsidR="009B234A" w:rsidRPr="00912D5D">
              <w:rPr>
                <w:rFonts w:asciiTheme="minorHAnsi" w:hAnsiTheme="minorHAnsi" w:cstheme="minorHAnsi"/>
              </w:rPr>
              <w:t>is pressure</w:t>
            </w:r>
            <w:r w:rsidRPr="00912D5D">
              <w:rPr>
                <w:rFonts w:asciiTheme="minorHAnsi" w:hAnsiTheme="minorHAnsi" w:cstheme="minorHAnsi"/>
              </w:rPr>
              <w:t xml:space="preserve"> and what has caused it</w:t>
            </w:r>
          </w:p>
          <w:p w14:paraId="3D017655" w14:textId="2DA122C3" w:rsidR="00F7068D" w:rsidRPr="00912D5D" w:rsidRDefault="00F7068D" w:rsidP="00A703BE">
            <w:pPr>
              <w:pStyle w:val="ListParagraph"/>
              <w:numPr>
                <w:ilvl w:val="0"/>
                <w:numId w:val="3"/>
              </w:numPr>
              <w:rPr>
                <w:rFonts w:asciiTheme="minorHAnsi" w:hAnsiTheme="minorHAnsi" w:cstheme="minorHAnsi"/>
              </w:rPr>
            </w:pPr>
            <w:r w:rsidRPr="00912D5D">
              <w:rPr>
                <w:rFonts w:asciiTheme="minorHAnsi" w:hAnsiTheme="minorHAnsi" w:cstheme="minorHAnsi"/>
              </w:rPr>
              <w:t xml:space="preserve">Budget &amp; resources for external contractors including contract/routing staff </w:t>
            </w:r>
            <w:r w:rsidR="00B47668" w:rsidRPr="00912D5D">
              <w:rPr>
                <w:rFonts w:asciiTheme="minorHAnsi" w:hAnsiTheme="minorHAnsi" w:cstheme="minorHAnsi"/>
              </w:rPr>
              <w:t xml:space="preserve"> along with unf</w:t>
            </w:r>
            <w:r w:rsidRPr="00912D5D">
              <w:rPr>
                <w:rFonts w:asciiTheme="minorHAnsi" w:hAnsiTheme="minorHAnsi" w:cstheme="minorHAnsi"/>
              </w:rPr>
              <w:t>unded travel assistance role were</w:t>
            </w:r>
            <w:r w:rsidR="00B47668" w:rsidRPr="00912D5D">
              <w:rPr>
                <w:rFonts w:asciiTheme="minorHAnsi" w:hAnsiTheme="minorHAnsi" w:cstheme="minorHAnsi"/>
              </w:rPr>
              <w:t xml:space="preserve"> </w:t>
            </w:r>
            <w:r w:rsidR="00AD09A7" w:rsidRPr="00912D5D">
              <w:rPr>
                <w:rFonts w:asciiTheme="minorHAnsi" w:hAnsiTheme="minorHAnsi" w:cstheme="minorHAnsi"/>
              </w:rPr>
              <w:t>originally</w:t>
            </w:r>
            <w:r w:rsidR="00B47668" w:rsidRPr="00912D5D">
              <w:rPr>
                <w:rFonts w:asciiTheme="minorHAnsi" w:hAnsiTheme="minorHAnsi" w:cstheme="minorHAnsi"/>
              </w:rPr>
              <w:t xml:space="preserve"> transferred back to PTU from Public Health in summer 2020 for </w:t>
            </w:r>
            <w:r w:rsidR="00AD09A7" w:rsidRPr="00912D5D">
              <w:rPr>
                <w:rFonts w:asciiTheme="minorHAnsi" w:hAnsiTheme="minorHAnsi" w:cstheme="minorHAnsi"/>
              </w:rPr>
              <w:t xml:space="preserve">a limited time of </w:t>
            </w:r>
            <w:r w:rsidR="00B47668" w:rsidRPr="00912D5D">
              <w:rPr>
                <w:rFonts w:asciiTheme="minorHAnsi" w:hAnsiTheme="minorHAnsi" w:cstheme="minorHAnsi"/>
              </w:rPr>
              <w:t xml:space="preserve">3 months whilst </w:t>
            </w:r>
            <w:r w:rsidR="00AD09A7" w:rsidRPr="00912D5D">
              <w:rPr>
                <w:rFonts w:asciiTheme="minorHAnsi" w:hAnsiTheme="minorHAnsi" w:cstheme="minorHAnsi"/>
              </w:rPr>
              <w:t xml:space="preserve">the </w:t>
            </w:r>
            <w:r w:rsidR="00B47668" w:rsidRPr="00912D5D">
              <w:rPr>
                <w:rFonts w:asciiTheme="minorHAnsi" w:hAnsiTheme="minorHAnsi" w:cstheme="minorHAnsi"/>
              </w:rPr>
              <w:t xml:space="preserve">invest </w:t>
            </w:r>
            <w:r w:rsidR="00DA2C44" w:rsidRPr="00912D5D">
              <w:rPr>
                <w:rFonts w:asciiTheme="minorHAnsi" w:hAnsiTheme="minorHAnsi" w:cstheme="minorHAnsi"/>
              </w:rPr>
              <w:t xml:space="preserve">to </w:t>
            </w:r>
            <w:r w:rsidR="00B47668" w:rsidRPr="00912D5D">
              <w:rPr>
                <w:rFonts w:asciiTheme="minorHAnsi" w:hAnsiTheme="minorHAnsi" w:cstheme="minorHAnsi"/>
              </w:rPr>
              <w:t>save</w:t>
            </w:r>
            <w:r w:rsidR="00AD09A7" w:rsidRPr="00912D5D">
              <w:rPr>
                <w:rFonts w:asciiTheme="minorHAnsi" w:hAnsiTheme="minorHAnsi" w:cstheme="minorHAnsi"/>
              </w:rPr>
              <w:t xml:space="preserve"> </w:t>
            </w:r>
            <w:r w:rsidRPr="00912D5D">
              <w:rPr>
                <w:rFonts w:asciiTheme="minorHAnsi" w:hAnsiTheme="minorHAnsi" w:cstheme="minorHAnsi"/>
              </w:rPr>
              <w:t xml:space="preserve">from Public </w:t>
            </w:r>
            <w:r w:rsidR="00A703BE" w:rsidRPr="00912D5D">
              <w:rPr>
                <w:rFonts w:asciiTheme="minorHAnsi" w:hAnsiTheme="minorHAnsi" w:cstheme="minorHAnsi"/>
              </w:rPr>
              <w:t>H</w:t>
            </w:r>
            <w:r w:rsidRPr="00912D5D">
              <w:rPr>
                <w:rFonts w:asciiTheme="minorHAnsi" w:hAnsiTheme="minorHAnsi" w:cstheme="minorHAnsi"/>
              </w:rPr>
              <w:t>ealth was debated.</w:t>
            </w:r>
          </w:p>
          <w:p w14:paraId="7C256308" w14:textId="19BF68C9" w:rsidR="00B47668" w:rsidRPr="00912D5D" w:rsidRDefault="001C5D20" w:rsidP="00A703BE">
            <w:pPr>
              <w:pStyle w:val="ListParagraph"/>
              <w:numPr>
                <w:ilvl w:val="0"/>
                <w:numId w:val="3"/>
              </w:numPr>
              <w:rPr>
                <w:rFonts w:asciiTheme="minorHAnsi" w:hAnsiTheme="minorHAnsi" w:cstheme="minorHAnsi"/>
              </w:rPr>
            </w:pPr>
            <w:r w:rsidRPr="00912D5D">
              <w:rPr>
                <w:rFonts w:asciiTheme="minorHAnsi" w:hAnsiTheme="minorHAnsi" w:cstheme="minorHAnsi"/>
              </w:rPr>
              <w:t xml:space="preserve">The lack of </w:t>
            </w:r>
            <w:r w:rsidR="005D166E" w:rsidRPr="00912D5D">
              <w:rPr>
                <w:rFonts w:asciiTheme="minorHAnsi" w:hAnsiTheme="minorHAnsi" w:cstheme="minorHAnsi"/>
              </w:rPr>
              <w:t xml:space="preserve">internal </w:t>
            </w:r>
            <w:r w:rsidRPr="00912D5D">
              <w:rPr>
                <w:rFonts w:asciiTheme="minorHAnsi" w:hAnsiTheme="minorHAnsi" w:cstheme="minorHAnsi"/>
              </w:rPr>
              <w:t>capacity to effectively assess SEND applications has compromised the Council’s ability to effectively and thoroughly scrutinise transport applications</w:t>
            </w:r>
            <w:r w:rsidR="00A703BE" w:rsidRPr="00912D5D">
              <w:rPr>
                <w:rFonts w:asciiTheme="minorHAnsi" w:hAnsiTheme="minorHAnsi" w:cstheme="minorHAnsi"/>
              </w:rPr>
              <w:t>, manage the budget</w:t>
            </w:r>
            <w:r w:rsidRPr="00912D5D">
              <w:rPr>
                <w:rFonts w:asciiTheme="minorHAnsi" w:hAnsiTheme="minorHAnsi" w:cstheme="minorHAnsi"/>
              </w:rPr>
              <w:t xml:space="preserve"> and develop alternative options (walking escorts, travel training, personal transport budgets)</w:t>
            </w:r>
            <w:r w:rsidR="00A703BE" w:rsidRPr="00912D5D">
              <w:rPr>
                <w:rFonts w:asciiTheme="minorHAnsi" w:hAnsiTheme="minorHAnsi" w:cstheme="minorHAnsi"/>
              </w:rPr>
              <w:t>.</w:t>
            </w:r>
          </w:p>
          <w:p w14:paraId="35B483E2" w14:textId="5013D340" w:rsidR="00A703BE" w:rsidRPr="00912D5D" w:rsidRDefault="00A703BE" w:rsidP="00A703BE">
            <w:pPr>
              <w:pStyle w:val="ListParagraph"/>
              <w:numPr>
                <w:ilvl w:val="0"/>
                <w:numId w:val="3"/>
              </w:numPr>
              <w:rPr>
                <w:rFonts w:asciiTheme="minorHAnsi" w:hAnsiTheme="minorHAnsi" w:cstheme="minorHAnsi"/>
              </w:rPr>
            </w:pPr>
            <w:r w:rsidRPr="00912D5D">
              <w:rPr>
                <w:rFonts w:asciiTheme="minorHAnsi" w:hAnsiTheme="minorHAnsi" w:cstheme="minorHAnsi"/>
              </w:rPr>
              <w:t>In July 2020, 630 pupils with an EHCP (33% of the total number of pupils with an EHCP) were receiving transport; this figure grew to 803 by April 2</w:t>
            </w:r>
            <w:r w:rsidR="00630DF2">
              <w:rPr>
                <w:rFonts w:asciiTheme="minorHAnsi" w:hAnsiTheme="minorHAnsi" w:cstheme="minorHAnsi"/>
              </w:rPr>
              <w:t>023, representing a 27% increase</w:t>
            </w:r>
            <w:r w:rsidRPr="00912D5D">
              <w:rPr>
                <w:rFonts w:asciiTheme="minorHAnsi" w:hAnsiTheme="minorHAnsi" w:cstheme="minorHAnsi"/>
              </w:rPr>
              <w:t xml:space="preserve"> in demand (this continues to represent 33% of the total number of pupils with an EHCP).  In the same period EHCPs increased by 26%.  This indicates a direct correlation between children requiring transport and the number of EHCPs increasing every year.</w:t>
            </w:r>
          </w:p>
          <w:p w14:paraId="4F6C1315" w14:textId="797ACE27" w:rsidR="00F7068D" w:rsidRPr="00912D5D" w:rsidRDefault="00F7068D">
            <w:pPr>
              <w:pStyle w:val="ListParagraph"/>
              <w:numPr>
                <w:ilvl w:val="0"/>
                <w:numId w:val="3"/>
              </w:numPr>
              <w:rPr>
                <w:rFonts w:asciiTheme="minorHAnsi" w:hAnsiTheme="minorHAnsi" w:cstheme="minorHAnsi"/>
              </w:rPr>
            </w:pPr>
            <w:r w:rsidRPr="00912D5D">
              <w:rPr>
                <w:rFonts w:asciiTheme="minorHAnsi" w:hAnsiTheme="minorHAnsi" w:cstheme="minorHAnsi"/>
              </w:rPr>
              <w:t>ASC clients have over 100 clients requiring daily transport.</w:t>
            </w:r>
          </w:p>
          <w:p w14:paraId="0024E9C5" w14:textId="4F7192BA" w:rsidR="00927DAB" w:rsidRPr="00912D5D" w:rsidRDefault="00AD09A7" w:rsidP="00A703BE">
            <w:pPr>
              <w:pStyle w:val="ListParagraph"/>
              <w:numPr>
                <w:ilvl w:val="0"/>
                <w:numId w:val="3"/>
              </w:numPr>
              <w:rPr>
                <w:rFonts w:asciiTheme="minorHAnsi" w:hAnsiTheme="minorHAnsi" w:cstheme="minorHAnsi"/>
              </w:rPr>
            </w:pPr>
            <w:r w:rsidRPr="00912D5D">
              <w:rPr>
                <w:rFonts w:asciiTheme="minorHAnsi" w:hAnsiTheme="minorHAnsi" w:cstheme="minorHAnsi"/>
              </w:rPr>
              <w:t xml:space="preserve">Current </w:t>
            </w:r>
            <w:r w:rsidR="00D332F3" w:rsidRPr="00912D5D">
              <w:rPr>
                <w:rFonts w:asciiTheme="minorHAnsi" w:hAnsiTheme="minorHAnsi" w:cstheme="minorHAnsi"/>
              </w:rPr>
              <w:t xml:space="preserve">transport </w:t>
            </w:r>
            <w:r w:rsidRPr="00912D5D">
              <w:rPr>
                <w:rFonts w:asciiTheme="minorHAnsi" w:hAnsiTheme="minorHAnsi" w:cstheme="minorHAnsi"/>
              </w:rPr>
              <w:t>provision is via the internal</w:t>
            </w:r>
            <w:r w:rsidR="0052624E" w:rsidRPr="00912D5D">
              <w:rPr>
                <w:rFonts w:asciiTheme="minorHAnsi" w:hAnsiTheme="minorHAnsi" w:cstheme="minorHAnsi"/>
              </w:rPr>
              <w:t xml:space="preserve"> fleet of 5</w:t>
            </w:r>
            <w:r w:rsidR="00F21D47" w:rsidRPr="00912D5D">
              <w:rPr>
                <w:rFonts w:asciiTheme="minorHAnsi" w:hAnsiTheme="minorHAnsi" w:cstheme="minorHAnsi"/>
              </w:rPr>
              <w:t>7</w:t>
            </w:r>
            <w:r w:rsidR="0052624E" w:rsidRPr="00912D5D">
              <w:rPr>
                <w:rFonts w:asciiTheme="minorHAnsi" w:hAnsiTheme="minorHAnsi" w:cstheme="minorHAnsi"/>
              </w:rPr>
              <w:t xml:space="preserve"> minibuses along with over 100 </w:t>
            </w:r>
            <w:r w:rsidR="00892388" w:rsidRPr="00912D5D">
              <w:rPr>
                <w:rFonts w:asciiTheme="minorHAnsi" w:hAnsiTheme="minorHAnsi" w:cstheme="minorHAnsi"/>
              </w:rPr>
              <w:t>contractor’s</w:t>
            </w:r>
            <w:r w:rsidR="00F7068D" w:rsidRPr="00912D5D">
              <w:rPr>
                <w:rFonts w:asciiTheme="minorHAnsi" w:hAnsiTheme="minorHAnsi" w:cstheme="minorHAnsi"/>
              </w:rPr>
              <w:t xml:space="preserve"> vehicles</w:t>
            </w:r>
            <w:r w:rsidR="00D332F3" w:rsidRPr="00912D5D">
              <w:rPr>
                <w:rFonts w:asciiTheme="minorHAnsi" w:hAnsiTheme="minorHAnsi" w:cstheme="minorHAnsi"/>
              </w:rPr>
              <w:t>, providing</w:t>
            </w:r>
            <w:r w:rsidR="0052624E" w:rsidRPr="00912D5D">
              <w:rPr>
                <w:rFonts w:asciiTheme="minorHAnsi" w:hAnsiTheme="minorHAnsi" w:cstheme="minorHAnsi"/>
              </w:rPr>
              <w:t xml:space="preserve"> statutory transport morning &amp; a</w:t>
            </w:r>
            <w:r w:rsidR="00D332F3" w:rsidRPr="00912D5D">
              <w:rPr>
                <w:rFonts w:asciiTheme="minorHAnsi" w:hAnsiTheme="minorHAnsi" w:cstheme="minorHAnsi"/>
              </w:rPr>
              <w:t>fternoon over 190 school days</w:t>
            </w:r>
            <w:r w:rsidR="001C5D20" w:rsidRPr="00912D5D">
              <w:rPr>
                <w:rFonts w:asciiTheme="minorHAnsi" w:hAnsiTheme="minorHAnsi" w:cstheme="minorHAnsi"/>
              </w:rPr>
              <w:t xml:space="preserve"> </w:t>
            </w:r>
            <w:r w:rsidR="00F7068D" w:rsidRPr="00912D5D">
              <w:rPr>
                <w:rFonts w:asciiTheme="minorHAnsi" w:hAnsiTheme="minorHAnsi" w:cstheme="minorHAnsi"/>
              </w:rPr>
              <w:t>@800+</w:t>
            </w:r>
            <w:r w:rsidR="001C5D20" w:rsidRPr="00912D5D">
              <w:rPr>
                <w:rFonts w:asciiTheme="minorHAnsi" w:hAnsiTheme="minorHAnsi" w:cstheme="minorHAnsi"/>
              </w:rPr>
              <w:t xml:space="preserve"> passengers</w:t>
            </w:r>
            <w:r w:rsidR="00F7068D" w:rsidRPr="00912D5D">
              <w:rPr>
                <w:rFonts w:asciiTheme="minorHAnsi" w:hAnsiTheme="minorHAnsi" w:cstheme="minorHAnsi"/>
              </w:rPr>
              <w:t xml:space="preserve"> </w:t>
            </w:r>
          </w:p>
          <w:p w14:paraId="2328D594" w14:textId="24C1439E" w:rsidR="0052624E" w:rsidRPr="00912D5D" w:rsidRDefault="0052624E" w:rsidP="00A703BE">
            <w:pPr>
              <w:pStyle w:val="ListParagraph"/>
              <w:numPr>
                <w:ilvl w:val="0"/>
                <w:numId w:val="3"/>
              </w:numPr>
              <w:rPr>
                <w:rFonts w:asciiTheme="minorHAnsi" w:hAnsiTheme="minorHAnsi" w:cstheme="minorHAnsi"/>
              </w:rPr>
            </w:pPr>
            <w:r w:rsidRPr="00912D5D">
              <w:rPr>
                <w:rFonts w:asciiTheme="minorHAnsi" w:hAnsiTheme="minorHAnsi" w:cstheme="minorHAnsi"/>
              </w:rPr>
              <w:t>Additional SEN</w:t>
            </w:r>
            <w:r w:rsidR="001E0243" w:rsidRPr="00912D5D">
              <w:rPr>
                <w:rFonts w:asciiTheme="minorHAnsi" w:hAnsiTheme="minorHAnsi" w:cstheme="minorHAnsi"/>
              </w:rPr>
              <w:t>D</w:t>
            </w:r>
            <w:r w:rsidRPr="00912D5D">
              <w:rPr>
                <w:rFonts w:asciiTheme="minorHAnsi" w:hAnsiTheme="minorHAnsi" w:cstheme="minorHAnsi"/>
              </w:rPr>
              <w:t xml:space="preserve"> schools/classes have come on </w:t>
            </w:r>
            <w:r w:rsidR="001E0243" w:rsidRPr="00912D5D">
              <w:rPr>
                <w:rFonts w:asciiTheme="minorHAnsi" w:hAnsiTheme="minorHAnsi" w:cstheme="minorHAnsi"/>
              </w:rPr>
              <w:t>line,</w:t>
            </w:r>
            <w:r w:rsidRPr="00912D5D">
              <w:rPr>
                <w:rFonts w:asciiTheme="minorHAnsi" w:hAnsiTheme="minorHAnsi" w:cstheme="minorHAnsi"/>
              </w:rPr>
              <w:t xml:space="preserve"> including Windmill Hill </w:t>
            </w:r>
            <w:r w:rsidR="00A703BE" w:rsidRPr="00912D5D">
              <w:rPr>
                <w:rFonts w:asciiTheme="minorHAnsi" w:hAnsiTheme="minorHAnsi" w:cstheme="minorHAnsi"/>
              </w:rPr>
              <w:t>(growing year on year with the first intake in September 2021)</w:t>
            </w:r>
            <w:r w:rsidR="00D912E4" w:rsidRPr="00912D5D">
              <w:rPr>
                <w:rFonts w:asciiTheme="minorHAnsi" w:hAnsiTheme="minorHAnsi" w:cstheme="minorHAnsi"/>
              </w:rPr>
              <w:t xml:space="preserve"> and the expansion of Lady Zia Wernher (phase 1 expansion in Sept 2023 and phase 2 in Sept 24)</w:t>
            </w:r>
            <w:r w:rsidR="00B47668" w:rsidRPr="00912D5D">
              <w:rPr>
                <w:rFonts w:asciiTheme="minorHAnsi" w:hAnsiTheme="minorHAnsi" w:cstheme="minorHAnsi"/>
              </w:rPr>
              <w:t>,</w:t>
            </w:r>
            <w:r w:rsidRPr="00912D5D">
              <w:rPr>
                <w:rFonts w:asciiTheme="minorHAnsi" w:hAnsiTheme="minorHAnsi" w:cstheme="minorHAnsi"/>
              </w:rPr>
              <w:t xml:space="preserve"> </w:t>
            </w:r>
            <w:r w:rsidR="001E0243" w:rsidRPr="00912D5D">
              <w:rPr>
                <w:rFonts w:asciiTheme="minorHAnsi" w:hAnsiTheme="minorHAnsi" w:cstheme="minorHAnsi"/>
              </w:rPr>
              <w:t>alongside</w:t>
            </w:r>
            <w:r w:rsidRPr="00912D5D">
              <w:rPr>
                <w:rFonts w:asciiTheme="minorHAnsi" w:hAnsiTheme="minorHAnsi" w:cstheme="minorHAnsi"/>
              </w:rPr>
              <w:t xml:space="preserve"> increasing out of borough placements and LAC transport charges.</w:t>
            </w:r>
          </w:p>
          <w:p w14:paraId="1164C5E4" w14:textId="788E710D" w:rsidR="005D166E" w:rsidRPr="00912D5D" w:rsidRDefault="005D166E" w:rsidP="00A703BE">
            <w:pPr>
              <w:pStyle w:val="ListParagraph"/>
              <w:numPr>
                <w:ilvl w:val="0"/>
                <w:numId w:val="3"/>
              </w:numPr>
              <w:rPr>
                <w:rFonts w:asciiTheme="minorHAnsi" w:hAnsiTheme="minorHAnsi" w:cstheme="minorHAnsi"/>
              </w:rPr>
            </w:pPr>
            <w:r w:rsidRPr="00912D5D">
              <w:rPr>
                <w:rFonts w:asciiTheme="minorHAnsi" w:hAnsiTheme="minorHAnsi" w:cstheme="minorHAnsi"/>
              </w:rPr>
              <w:t>The lack of local SEMH provision leads to more complex children having to travel greater distances out of Borough.</w:t>
            </w:r>
          </w:p>
          <w:p w14:paraId="70964C48" w14:textId="254BBA93" w:rsidR="00D332F3" w:rsidRPr="00912D5D" w:rsidRDefault="00D332F3">
            <w:pPr>
              <w:pStyle w:val="ListParagraph"/>
              <w:numPr>
                <w:ilvl w:val="0"/>
                <w:numId w:val="3"/>
              </w:numPr>
              <w:rPr>
                <w:rFonts w:asciiTheme="minorHAnsi" w:hAnsiTheme="minorHAnsi" w:cstheme="minorHAnsi"/>
              </w:rPr>
            </w:pPr>
            <w:r w:rsidRPr="00912D5D">
              <w:rPr>
                <w:rFonts w:asciiTheme="minorHAnsi" w:hAnsiTheme="minorHAnsi" w:cstheme="minorHAnsi"/>
              </w:rPr>
              <w:t xml:space="preserve">ASC </w:t>
            </w:r>
            <w:r w:rsidR="00F7068D" w:rsidRPr="00912D5D">
              <w:rPr>
                <w:rFonts w:asciiTheme="minorHAnsi" w:hAnsiTheme="minorHAnsi" w:cstheme="minorHAnsi"/>
              </w:rPr>
              <w:t>routes (</w:t>
            </w:r>
            <w:r w:rsidRPr="00912D5D">
              <w:rPr>
                <w:rFonts w:asciiTheme="minorHAnsi" w:hAnsiTheme="minorHAnsi" w:cstheme="minorHAnsi"/>
              </w:rPr>
              <w:t>40</w:t>
            </w:r>
            <w:r w:rsidR="00F7068D" w:rsidRPr="00912D5D">
              <w:rPr>
                <w:rFonts w:asciiTheme="minorHAnsi" w:hAnsiTheme="minorHAnsi" w:cstheme="minorHAnsi"/>
              </w:rPr>
              <w:t xml:space="preserve"> routes @110 clients</w:t>
            </w:r>
            <w:r w:rsidRPr="00912D5D">
              <w:rPr>
                <w:rFonts w:asciiTheme="minorHAnsi" w:hAnsiTheme="minorHAnsi" w:cstheme="minorHAnsi"/>
              </w:rPr>
              <w:t xml:space="preserve">) are added to the end of the school runs but as demand for places </w:t>
            </w:r>
            <w:r w:rsidR="00892388" w:rsidRPr="00912D5D">
              <w:rPr>
                <w:rFonts w:asciiTheme="minorHAnsi" w:hAnsiTheme="minorHAnsi" w:cstheme="minorHAnsi"/>
              </w:rPr>
              <w:t>increases,</w:t>
            </w:r>
            <w:r w:rsidRPr="00912D5D">
              <w:rPr>
                <w:rFonts w:asciiTheme="minorHAnsi" w:hAnsiTheme="minorHAnsi" w:cstheme="minorHAnsi"/>
              </w:rPr>
              <w:t xml:space="preserve"> this may have to become distinct ASC transport provision.</w:t>
            </w:r>
          </w:p>
        </w:tc>
      </w:tr>
      <w:tr w:rsidR="001C7161" w:rsidRPr="00ED60EA" w14:paraId="5CB85CFD" w14:textId="77777777" w:rsidTr="001C7161">
        <w:tc>
          <w:tcPr>
            <w:tcW w:w="9242" w:type="dxa"/>
          </w:tcPr>
          <w:p w14:paraId="07FBAA13" w14:textId="77777777" w:rsidR="00010C67" w:rsidRPr="00912D5D" w:rsidRDefault="00010C67" w:rsidP="0036713C">
            <w:pPr>
              <w:rPr>
                <w:rFonts w:asciiTheme="minorHAnsi" w:hAnsiTheme="minorHAnsi" w:cstheme="minorHAnsi"/>
              </w:rPr>
            </w:pPr>
          </w:p>
        </w:tc>
      </w:tr>
    </w:tbl>
    <w:p w14:paraId="27D437B2" w14:textId="77777777" w:rsidR="001C7161" w:rsidRPr="00912D5D" w:rsidRDefault="001C7161" w:rsidP="001C7161">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9B64B4" w:rsidRPr="00ED60EA" w14:paraId="5EFB575D" w14:textId="77777777" w:rsidTr="007F3E49">
        <w:tc>
          <w:tcPr>
            <w:tcW w:w="9016" w:type="dxa"/>
          </w:tcPr>
          <w:p w14:paraId="13695CB7" w14:textId="77777777" w:rsidR="009B64B4" w:rsidRPr="00912D5D" w:rsidRDefault="009B234A" w:rsidP="001C7161">
            <w:pPr>
              <w:rPr>
                <w:rFonts w:asciiTheme="minorHAnsi" w:hAnsiTheme="minorHAnsi" w:cstheme="minorHAnsi"/>
              </w:rPr>
            </w:pPr>
            <w:r w:rsidRPr="00912D5D">
              <w:rPr>
                <w:rFonts w:asciiTheme="minorHAnsi" w:hAnsiTheme="minorHAnsi" w:cstheme="minorHAnsi"/>
              </w:rPr>
              <w:t>What action(s) can be taken to keep 23/24 spend in line with approved budget?</w:t>
            </w:r>
          </w:p>
          <w:p w14:paraId="4C16A309" w14:textId="77777777" w:rsidR="001E0243" w:rsidRPr="00912D5D" w:rsidRDefault="001E0243" w:rsidP="001C7161">
            <w:pPr>
              <w:rPr>
                <w:rFonts w:asciiTheme="minorHAnsi" w:hAnsiTheme="minorHAnsi" w:cstheme="minorHAnsi"/>
              </w:rPr>
            </w:pPr>
          </w:p>
          <w:p w14:paraId="7140FB3C" w14:textId="22C196C6" w:rsidR="003206E3" w:rsidRPr="007F3E49" w:rsidRDefault="007F3E49" w:rsidP="003206E3">
            <w:pPr>
              <w:pStyle w:val="ListParagraph"/>
              <w:numPr>
                <w:ilvl w:val="0"/>
                <w:numId w:val="4"/>
              </w:numPr>
              <w:rPr>
                <w:rFonts w:asciiTheme="minorHAnsi" w:hAnsiTheme="minorHAnsi" w:cstheme="minorHAnsi"/>
              </w:rPr>
            </w:pPr>
            <w:r>
              <w:rPr>
                <w:rFonts w:asciiTheme="minorHAnsi" w:hAnsiTheme="minorHAnsi" w:cstheme="minorHAnsi"/>
              </w:rPr>
              <w:t xml:space="preserve"> </w:t>
            </w:r>
          </w:p>
          <w:p w14:paraId="64F325BB" w14:textId="77777777" w:rsidR="00927DAB" w:rsidRPr="00912D5D" w:rsidRDefault="00927DAB" w:rsidP="00C83D5E">
            <w:pPr>
              <w:pStyle w:val="ListParagraph"/>
              <w:rPr>
                <w:rFonts w:asciiTheme="minorHAnsi" w:hAnsiTheme="minorHAnsi" w:cstheme="minorHAnsi"/>
              </w:rPr>
            </w:pPr>
          </w:p>
        </w:tc>
      </w:tr>
    </w:tbl>
    <w:p w14:paraId="3A0E3492" w14:textId="77777777"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14:paraId="15422E6D" w14:textId="77777777" w:rsidTr="004C36B2">
        <w:tc>
          <w:tcPr>
            <w:tcW w:w="9016" w:type="dxa"/>
            <w:gridSpan w:val="3"/>
            <w:tcBorders>
              <w:bottom w:val="single" w:sz="4" w:space="0" w:color="auto"/>
            </w:tcBorders>
          </w:tcPr>
          <w:p w14:paraId="4E03A9B4" w14:textId="77777777" w:rsidR="004C36B2" w:rsidRDefault="004C36B2" w:rsidP="001C7161">
            <w:pPr>
              <w:rPr>
                <w:b/>
              </w:rPr>
            </w:pPr>
            <w:r>
              <w:rPr>
                <w:b/>
              </w:rPr>
              <w:lastRenderedPageBreak/>
              <w:t>Timescale for budget deficit recovery</w:t>
            </w:r>
          </w:p>
          <w:p w14:paraId="7D924CAE" w14:textId="4E0197B1"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14:paraId="2E254050" w14:textId="03CED96C" w:rsidR="00EE1DF9" w:rsidRDefault="00EE1DF9" w:rsidP="00EE1DF9">
            <w:pPr>
              <w:rPr>
                <w:b/>
              </w:rPr>
            </w:pPr>
          </w:p>
          <w:p w14:paraId="3177BF0E" w14:textId="24076258" w:rsidR="00EE1DF9" w:rsidRPr="00EE1DF9" w:rsidRDefault="00EE1DF9" w:rsidP="00EE1DF9">
            <w:r>
              <w:t>Much of the planned action is reliant upon changes arising following the proposed restructuring of Transport and also the work of Human Engine, which is planned to take place during Q3, thereby making it challenging to meet the deficit recovery plan in total by the end of the financial year.</w:t>
            </w:r>
          </w:p>
          <w:p w14:paraId="7094BDCC" w14:textId="77777777" w:rsidR="004C36B2" w:rsidRPr="00E14CD3" w:rsidRDefault="004C36B2" w:rsidP="00E14CD3">
            <w:pPr>
              <w:pStyle w:val="ListParagraph"/>
              <w:rPr>
                <w:b/>
              </w:rPr>
            </w:pPr>
          </w:p>
        </w:tc>
      </w:tr>
      <w:tr w:rsidR="004C36B2" w14:paraId="427F87BF" w14:textId="77777777" w:rsidTr="004C36B2">
        <w:tc>
          <w:tcPr>
            <w:tcW w:w="5746" w:type="dxa"/>
            <w:shd w:val="pct30" w:color="auto" w:fill="auto"/>
          </w:tcPr>
          <w:p w14:paraId="26FBD40E" w14:textId="77777777" w:rsidR="004C36B2" w:rsidRDefault="004C36B2" w:rsidP="00E14CD3">
            <w:pPr>
              <w:jc w:val="center"/>
            </w:pPr>
            <w:r>
              <w:t>MILESTONE DETAILS</w:t>
            </w:r>
          </w:p>
        </w:tc>
        <w:tc>
          <w:tcPr>
            <w:tcW w:w="1588" w:type="dxa"/>
            <w:shd w:val="pct30" w:color="auto" w:fill="auto"/>
          </w:tcPr>
          <w:p w14:paraId="2602E95D" w14:textId="77777777" w:rsidR="004C36B2" w:rsidRDefault="004C36B2" w:rsidP="00E14CD3">
            <w:pPr>
              <w:jc w:val="center"/>
            </w:pPr>
            <w:r>
              <w:t>£</w:t>
            </w:r>
          </w:p>
        </w:tc>
        <w:tc>
          <w:tcPr>
            <w:tcW w:w="1682" w:type="dxa"/>
            <w:shd w:val="pct30" w:color="auto" w:fill="auto"/>
          </w:tcPr>
          <w:p w14:paraId="58BF6B2D" w14:textId="77777777" w:rsidR="004C36B2" w:rsidRDefault="004C36B2" w:rsidP="00E14CD3">
            <w:pPr>
              <w:jc w:val="center"/>
            </w:pPr>
            <w:r>
              <w:t>Date</w:t>
            </w:r>
          </w:p>
        </w:tc>
      </w:tr>
      <w:tr w:rsidR="004C36B2" w14:paraId="6A32D96E" w14:textId="77777777" w:rsidTr="004C36B2">
        <w:tc>
          <w:tcPr>
            <w:tcW w:w="5746" w:type="dxa"/>
          </w:tcPr>
          <w:p w14:paraId="31878188" w14:textId="693EB7E8" w:rsidR="004C36B2" w:rsidRDefault="00FC188E" w:rsidP="001C7161">
            <w:r>
              <w:t>CLMT agreement with the restructuring of staffing to create the resource to tighten budget monitoring and eligibility assessment/review.</w:t>
            </w:r>
          </w:p>
        </w:tc>
        <w:tc>
          <w:tcPr>
            <w:tcW w:w="1588" w:type="dxa"/>
          </w:tcPr>
          <w:p w14:paraId="3680FB66" w14:textId="791A6A22" w:rsidR="004C36B2" w:rsidRDefault="00EE1DF9" w:rsidP="00EE1DF9">
            <w:pPr>
              <w:jc w:val="center"/>
            </w:pPr>
            <w:r>
              <w:t>0</w:t>
            </w:r>
          </w:p>
        </w:tc>
        <w:tc>
          <w:tcPr>
            <w:tcW w:w="1682" w:type="dxa"/>
          </w:tcPr>
          <w:p w14:paraId="0D394C5A" w14:textId="3537D14F" w:rsidR="004C36B2" w:rsidRDefault="00EE1DF9" w:rsidP="00C07A96">
            <w:r>
              <w:t>Sept 2023</w:t>
            </w:r>
          </w:p>
        </w:tc>
      </w:tr>
      <w:tr w:rsidR="00FC188E" w14:paraId="4AC3C632" w14:textId="77777777" w:rsidTr="004C36B2">
        <w:tc>
          <w:tcPr>
            <w:tcW w:w="5746" w:type="dxa"/>
          </w:tcPr>
          <w:p w14:paraId="3EAA348E" w14:textId="057555C3" w:rsidR="00FC188E" w:rsidRDefault="00FC188E" w:rsidP="002949A8">
            <w:pPr>
              <w:tabs>
                <w:tab w:val="left" w:pos="1485"/>
              </w:tabs>
            </w:pPr>
            <w:r>
              <w:t xml:space="preserve">Appoint staffing in to SENAT </w:t>
            </w:r>
            <w:r w:rsidR="00EE1DF9">
              <w:t xml:space="preserve">and the Inclusion Service Team to manage new responsibilities. </w:t>
            </w:r>
          </w:p>
        </w:tc>
        <w:tc>
          <w:tcPr>
            <w:tcW w:w="1588" w:type="dxa"/>
          </w:tcPr>
          <w:p w14:paraId="22AEF10C" w14:textId="05668F65" w:rsidR="00FC188E" w:rsidRDefault="00EE1DF9" w:rsidP="00EE1DF9">
            <w:pPr>
              <w:jc w:val="center"/>
            </w:pPr>
            <w:r>
              <w:t>0</w:t>
            </w:r>
          </w:p>
        </w:tc>
        <w:tc>
          <w:tcPr>
            <w:tcW w:w="1682" w:type="dxa"/>
          </w:tcPr>
          <w:p w14:paraId="2C621B73" w14:textId="70822509" w:rsidR="00FC188E" w:rsidRDefault="00EE1DF9">
            <w:r>
              <w:t>Oct</w:t>
            </w:r>
            <w:r w:rsidR="009A1C20">
              <w:t xml:space="preserve"> 2023 – Jan 24</w:t>
            </w:r>
          </w:p>
        </w:tc>
      </w:tr>
      <w:tr w:rsidR="004C36B2" w14:paraId="14A79AEF" w14:textId="77777777" w:rsidTr="004C36B2">
        <w:tc>
          <w:tcPr>
            <w:tcW w:w="5746" w:type="dxa"/>
          </w:tcPr>
          <w:p w14:paraId="3BCC4EC4" w14:textId="05A9827A" w:rsidR="004C36B2" w:rsidRDefault="00FC188E" w:rsidP="002949A8">
            <w:pPr>
              <w:tabs>
                <w:tab w:val="left" w:pos="1485"/>
              </w:tabs>
            </w:pPr>
            <w:r>
              <w:t>Human Engine to review national best practice and make recommendations on ways of reducing unit costs</w:t>
            </w:r>
          </w:p>
        </w:tc>
        <w:tc>
          <w:tcPr>
            <w:tcW w:w="1588" w:type="dxa"/>
          </w:tcPr>
          <w:p w14:paraId="27F68E12" w14:textId="226FCCD1" w:rsidR="004C36B2" w:rsidRDefault="008E0849" w:rsidP="00EE1DF9">
            <w:pPr>
              <w:jc w:val="center"/>
            </w:pPr>
            <w:r>
              <w:t>£96k</w:t>
            </w:r>
          </w:p>
        </w:tc>
        <w:tc>
          <w:tcPr>
            <w:tcW w:w="1682" w:type="dxa"/>
          </w:tcPr>
          <w:p w14:paraId="38B50C5A" w14:textId="4BD3B7AA" w:rsidR="004C36B2" w:rsidRDefault="00EE1DF9">
            <w:r>
              <w:t>Sept-</w:t>
            </w:r>
            <w:r w:rsidR="005B4FB3">
              <w:t xml:space="preserve">Dec </w:t>
            </w:r>
            <w:r>
              <w:t>2023</w:t>
            </w:r>
          </w:p>
        </w:tc>
      </w:tr>
      <w:tr w:rsidR="004C36B2" w14:paraId="3BCEEE0E" w14:textId="77777777" w:rsidTr="004C36B2">
        <w:tc>
          <w:tcPr>
            <w:tcW w:w="5746" w:type="dxa"/>
          </w:tcPr>
          <w:p w14:paraId="7CEF8C2D" w14:textId="6A5F6E14" w:rsidR="007550ED" w:rsidRDefault="00FC188E" w:rsidP="00B03D4A">
            <w:pPr>
              <w:tabs>
                <w:tab w:val="left" w:pos="4530"/>
              </w:tabs>
            </w:pPr>
            <w:r>
              <w:t>Review eligibility assessment</w:t>
            </w:r>
            <w:r w:rsidR="00B03D4A">
              <w:t>s as part of annual review process</w:t>
            </w:r>
            <w:r>
              <w:t xml:space="preserve"> to determine that eligibility</w:t>
            </w:r>
            <w:r w:rsidR="009A1C20">
              <w:t xml:space="preserve"> and mode of transport</w:t>
            </w:r>
            <w:r>
              <w:t xml:space="preserve"> is</w:t>
            </w:r>
            <w:r w:rsidR="00B03D4A">
              <w:t xml:space="preserve"> still</w:t>
            </w:r>
            <w:r>
              <w:t xml:space="preserve"> appropriate to need </w:t>
            </w:r>
          </w:p>
        </w:tc>
        <w:tc>
          <w:tcPr>
            <w:tcW w:w="1588" w:type="dxa"/>
          </w:tcPr>
          <w:p w14:paraId="0CE193E3" w14:textId="5A667565" w:rsidR="004C36B2" w:rsidRPr="007550ED" w:rsidRDefault="008E0849" w:rsidP="008E0849">
            <w:pPr>
              <w:jc w:val="center"/>
            </w:pPr>
            <w:r>
              <w:t>£20k</w:t>
            </w:r>
          </w:p>
        </w:tc>
        <w:tc>
          <w:tcPr>
            <w:tcW w:w="1682" w:type="dxa"/>
          </w:tcPr>
          <w:p w14:paraId="44F3108E" w14:textId="45BA00E3" w:rsidR="004C36B2" w:rsidRDefault="00B03D4A" w:rsidP="00C07A96">
            <w:r>
              <w:t>Alongside annual review timescales</w:t>
            </w:r>
            <w:r w:rsidR="009A1C20">
              <w:t xml:space="preserve"> from Jan 24 (when permanent staff are in place)</w:t>
            </w:r>
          </w:p>
        </w:tc>
      </w:tr>
      <w:tr w:rsidR="00B03D4A" w14:paraId="67B39B41" w14:textId="77777777" w:rsidTr="004C36B2">
        <w:tc>
          <w:tcPr>
            <w:tcW w:w="5746" w:type="dxa"/>
          </w:tcPr>
          <w:p w14:paraId="2E866CCB" w14:textId="7B7D5BBC" w:rsidR="00B03D4A" w:rsidRDefault="00B03D4A" w:rsidP="00B03D4A">
            <w:pPr>
              <w:tabs>
                <w:tab w:val="left" w:pos="4530"/>
              </w:tabs>
            </w:pPr>
            <w:r>
              <w:t>Implement rigorous eligibility assessment process against new EHCPs</w:t>
            </w:r>
          </w:p>
        </w:tc>
        <w:tc>
          <w:tcPr>
            <w:tcW w:w="1588" w:type="dxa"/>
          </w:tcPr>
          <w:p w14:paraId="7608693B" w14:textId="3BD24592" w:rsidR="00B03D4A" w:rsidRDefault="00B03D4A" w:rsidP="008E0849">
            <w:pPr>
              <w:jc w:val="center"/>
            </w:pPr>
            <w:r>
              <w:t>TBC</w:t>
            </w:r>
          </w:p>
        </w:tc>
        <w:tc>
          <w:tcPr>
            <w:tcW w:w="1682" w:type="dxa"/>
          </w:tcPr>
          <w:p w14:paraId="3BB9F332" w14:textId="66313867" w:rsidR="00B03D4A" w:rsidRDefault="00B03D4A" w:rsidP="00C07A96">
            <w:r>
              <w:t>Jan 2024</w:t>
            </w:r>
          </w:p>
        </w:tc>
      </w:tr>
      <w:tr w:rsidR="00C07A96" w14:paraId="29446828" w14:textId="77777777" w:rsidTr="004C36B2">
        <w:tc>
          <w:tcPr>
            <w:tcW w:w="5746" w:type="dxa"/>
          </w:tcPr>
          <w:p w14:paraId="0C8F5A18" w14:textId="014BCD99" w:rsidR="00C07A96" w:rsidRDefault="00FC188E" w:rsidP="00C07A96">
            <w:r>
              <w:t xml:space="preserve">Introduce and market the agreed personal transport budgets and parent mileage allowances already agreed in principle </w:t>
            </w:r>
          </w:p>
        </w:tc>
        <w:tc>
          <w:tcPr>
            <w:tcW w:w="1588" w:type="dxa"/>
          </w:tcPr>
          <w:p w14:paraId="727FF760" w14:textId="4EA9FE68" w:rsidR="00C07A96" w:rsidRDefault="00B03D4A" w:rsidP="008E0849">
            <w:pPr>
              <w:jc w:val="center"/>
            </w:pPr>
            <w:r>
              <w:t>£2</w:t>
            </w:r>
            <w:r w:rsidR="008E0849">
              <w:t>0k</w:t>
            </w:r>
          </w:p>
        </w:tc>
        <w:tc>
          <w:tcPr>
            <w:tcW w:w="1682" w:type="dxa"/>
          </w:tcPr>
          <w:p w14:paraId="3242019B" w14:textId="2181805D" w:rsidR="00C07A96" w:rsidRDefault="00EE1DF9" w:rsidP="00C07A96">
            <w:r>
              <w:t>Nov 2023</w:t>
            </w:r>
          </w:p>
        </w:tc>
      </w:tr>
      <w:tr w:rsidR="008E0849" w14:paraId="110A0818" w14:textId="77777777" w:rsidTr="004C36B2">
        <w:tc>
          <w:tcPr>
            <w:tcW w:w="5746" w:type="dxa"/>
          </w:tcPr>
          <w:p w14:paraId="3EE8B090" w14:textId="7B8473B9" w:rsidR="008E0849" w:rsidRDefault="00B03D4A" w:rsidP="008E0849">
            <w:r>
              <w:t>Continue the re</w:t>
            </w:r>
            <w:r w:rsidR="008E0849">
              <w:t xml:space="preserve">view </w:t>
            </w:r>
            <w:r>
              <w:t xml:space="preserve">of </w:t>
            </w:r>
            <w:r w:rsidR="008E0849">
              <w:t>lone taxi usage</w:t>
            </w:r>
          </w:p>
        </w:tc>
        <w:tc>
          <w:tcPr>
            <w:tcW w:w="1588" w:type="dxa"/>
          </w:tcPr>
          <w:p w14:paraId="7FCA6C3C" w14:textId="3EA6FBFE" w:rsidR="008E0849" w:rsidRDefault="008E0849" w:rsidP="00C07A96">
            <w:pPr>
              <w:jc w:val="center"/>
            </w:pPr>
            <w:r>
              <w:t>TBC</w:t>
            </w:r>
          </w:p>
        </w:tc>
        <w:tc>
          <w:tcPr>
            <w:tcW w:w="1682" w:type="dxa"/>
          </w:tcPr>
          <w:p w14:paraId="13A73788" w14:textId="7EFA6312" w:rsidR="008E0849" w:rsidRDefault="008E0849" w:rsidP="00C07A96">
            <w:r>
              <w:t>Jan-March 2024</w:t>
            </w:r>
          </w:p>
        </w:tc>
      </w:tr>
      <w:tr w:rsidR="00C07A96" w14:paraId="07160472" w14:textId="77777777" w:rsidTr="004C36B2">
        <w:tc>
          <w:tcPr>
            <w:tcW w:w="5746" w:type="dxa"/>
          </w:tcPr>
          <w:p w14:paraId="405C9FFF" w14:textId="09E269CD" w:rsidR="00C07A96" w:rsidRDefault="00EE1DF9" w:rsidP="00681EDB">
            <w:r>
              <w:t>Strengthen independent travel training for Key Stage 4 and post 16 students with SEND</w:t>
            </w:r>
          </w:p>
        </w:tc>
        <w:tc>
          <w:tcPr>
            <w:tcW w:w="1588" w:type="dxa"/>
          </w:tcPr>
          <w:p w14:paraId="3C72CED5" w14:textId="5195A22E" w:rsidR="00C07A96" w:rsidRDefault="008E0849" w:rsidP="00C07A96">
            <w:pPr>
              <w:jc w:val="center"/>
            </w:pPr>
            <w:r>
              <w:t>£20k</w:t>
            </w:r>
          </w:p>
        </w:tc>
        <w:tc>
          <w:tcPr>
            <w:tcW w:w="1682" w:type="dxa"/>
          </w:tcPr>
          <w:p w14:paraId="1B758903" w14:textId="1EA3A820" w:rsidR="00C07A96" w:rsidRDefault="00B03D4A" w:rsidP="00C07A96">
            <w:r>
              <w:t>April-July</w:t>
            </w:r>
            <w:r w:rsidR="00EE1DF9">
              <w:t xml:space="preserve"> 2024</w:t>
            </w:r>
          </w:p>
        </w:tc>
      </w:tr>
      <w:tr w:rsidR="00FC188E" w14:paraId="1ADDA137" w14:textId="77777777" w:rsidTr="004C36B2">
        <w:tc>
          <w:tcPr>
            <w:tcW w:w="5746" w:type="dxa"/>
          </w:tcPr>
          <w:p w14:paraId="29C44FD7" w14:textId="2E119366" w:rsidR="00FC188E" w:rsidRDefault="00EE1DF9" w:rsidP="00681EDB">
            <w:r>
              <w:t xml:space="preserve">Implement findings of Human Engine’s research into best practice </w:t>
            </w:r>
          </w:p>
        </w:tc>
        <w:tc>
          <w:tcPr>
            <w:tcW w:w="1588" w:type="dxa"/>
          </w:tcPr>
          <w:p w14:paraId="6B37B9DA" w14:textId="7ED4CF85" w:rsidR="00FC188E" w:rsidRDefault="008E0849" w:rsidP="00C07A96">
            <w:pPr>
              <w:jc w:val="center"/>
            </w:pPr>
            <w:r>
              <w:t>TBC</w:t>
            </w:r>
          </w:p>
        </w:tc>
        <w:tc>
          <w:tcPr>
            <w:tcW w:w="1682" w:type="dxa"/>
          </w:tcPr>
          <w:p w14:paraId="53E1DCBA" w14:textId="30CB0F65" w:rsidR="00FC188E" w:rsidRDefault="00EE1DF9" w:rsidP="00C07A96">
            <w:r>
              <w:t>April 24-Mar 25</w:t>
            </w:r>
          </w:p>
        </w:tc>
      </w:tr>
      <w:tr w:rsidR="00FC188E" w14:paraId="03467BC3" w14:textId="77777777" w:rsidTr="004C36B2">
        <w:tc>
          <w:tcPr>
            <w:tcW w:w="5746" w:type="dxa"/>
          </w:tcPr>
          <w:p w14:paraId="437E860F" w14:textId="77777777" w:rsidR="00FC188E" w:rsidRDefault="00FC188E" w:rsidP="00681EDB"/>
        </w:tc>
        <w:tc>
          <w:tcPr>
            <w:tcW w:w="1588" w:type="dxa"/>
          </w:tcPr>
          <w:p w14:paraId="67E9C770" w14:textId="77777777" w:rsidR="00FC188E" w:rsidRDefault="00FC188E" w:rsidP="00C07A96">
            <w:pPr>
              <w:jc w:val="center"/>
            </w:pPr>
          </w:p>
        </w:tc>
        <w:tc>
          <w:tcPr>
            <w:tcW w:w="1682" w:type="dxa"/>
          </w:tcPr>
          <w:p w14:paraId="0E94F34D" w14:textId="77777777" w:rsidR="00FC188E" w:rsidRDefault="00FC188E" w:rsidP="00C07A96"/>
        </w:tc>
      </w:tr>
      <w:tr w:rsidR="00FC188E" w14:paraId="3EA19714" w14:textId="77777777" w:rsidTr="004C36B2">
        <w:tc>
          <w:tcPr>
            <w:tcW w:w="5746" w:type="dxa"/>
          </w:tcPr>
          <w:p w14:paraId="42069074" w14:textId="77777777" w:rsidR="00FC188E" w:rsidRDefault="00FC188E" w:rsidP="00681EDB"/>
        </w:tc>
        <w:tc>
          <w:tcPr>
            <w:tcW w:w="1588" w:type="dxa"/>
          </w:tcPr>
          <w:p w14:paraId="10E076DB" w14:textId="77777777" w:rsidR="00FC188E" w:rsidRDefault="00FC188E" w:rsidP="00C07A96">
            <w:pPr>
              <w:jc w:val="center"/>
            </w:pPr>
          </w:p>
        </w:tc>
        <w:tc>
          <w:tcPr>
            <w:tcW w:w="1682" w:type="dxa"/>
          </w:tcPr>
          <w:p w14:paraId="0E3C6955" w14:textId="77777777" w:rsidR="00FC188E" w:rsidRDefault="00FC188E" w:rsidP="00C07A96"/>
        </w:tc>
      </w:tr>
    </w:tbl>
    <w:p w14:paraId="72B54069" w14:textId="77777777" w:rsidR="00E14CD3" w:rsidRDefault="00E14CD3">
      <w:r>
        <w:br w:type="page"/>
      </w:r>
    </w:p>
    <w:p w14:paraId="2E74E26C"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6DC1F12A" w14:textId="77777777" w:rsidTr="00E14CD3">
        <w:tc>
          <w:tcPr>
            <w:tcW w:w="9016" w:type="dxa"/>
            <w:gridSpan w:val="2"/>
          </w:tcPr>
          <w:p w14:paraId="551F20D3" w14:textId="77777777" w:rsidR="00E14CD3" w:rsidRDefault="00E14CD3" w:rsidP="001C7161">
            <w:pPr>
              <w:rPr>
                <w:b/>
              </w:rPr>
            </w:pPr>
            <w:r>
              <w:rPr>
                <w:b/>
              </w:rPr>
              <w:t>Quarterly Monitoring updates</w:t>
            </w:r>
          </w:p>
          <w:p w14:paraId="4618B512" w14:textId="77C1EEC9" w:rsidR="00F32B3C" w:rsidRDefault="002A26EE" w:rsidP="00F21D47">
            <w:r w:rsidRPr="002A26EE">
              <w:t>With phase 1 of the transformation project ending</w:t>
            </w:r>
            <w:r>
              <w:t xml:space="preserve">, a number of deliverables have been formulated by key officers to enable the work to continue </w:t>
            </w:r>
            <w:r w:rsidR="00413A7A">
              <w:t>under</w:t>
            </w:r>
            <w:r w:rsidR="00CD1D51">
              <w:t xml:space="preserve"> </w:t>
            </w:r>
            <w:r w:rsidR="00C34DB2">
              <w:t xml:space="preserve">the proposed strengthened permanent internal staffing structure, with transformational support from Human Engine. </w:t>
            </w:r>
            <w:r w:rsidR="00CD1D51">
              <w:t xml:space="preserve"> </w:t>
            </w:r>
          </w:p>
          <w:p w14:paraId="65F29273" w14:textId="25E92251" w:rsidR="007F3E49" w:rsidRDefault="007F3E49" w:rsidP="00F21D47"/>
          <w:p w14:paraId="3CE75CE4" w14:textId="19136BA5" w:rsidR="00F32B3C" w:rsidRDefault="00D27456" w:rsidP="00755C20">
            <w:pPr>
              <w:pStyle w:val="ListParagraph"/>
              <w:numPr>
                <w:ilvl w:val="0"/>
                <w:numId w:val="2"/>
              </w:numPr>
            </w:pPr>
            <w:r>
              <w:t>F</w:t>
            </w:r>
            <w:r w:rsidR="00F32B3C">
              <w:t xml:space="preserve">ully </w:t>
            </w:r>
            <w:r>
              <w:t>costed suitable staff structure agreed</w:t>
            </w:r>
            <w:r w:rsidR="00B03D4A">
              <w:t xml:space="preserve"> </w:t>
            </w:r>
            <w:r w:rsidR="00B03D4A">
              <w:rPr>
                <w:b/>
              </w:rPr>
              <w:t>(</w:t>
            </w:r>
            <w:r w:rsidR="00C34DB2">
              <w:rPr>
                <w:b/>
              </w:rPr>
              <w:t xml:space="preserve">initial proposal </w:t>
            </w:r>
            <w:r w:rsidR="001304F9">
              <w:rPr>
                <w:b/>
              </w:rPr>
              <w:t>was agreed</w:t>
            </w:r>
            <w:r w:rsidR="00C34DB2">
              <w:rPr>
                <w:b/>
              </w:rPr>
              <w:t xml:space="preserve"> by CLMT on 28 Sept 23</w:t>
            </w:r>
            <w:r w:rsidR="00B03D4A">
              <w:rPr>
                <w:b/>
              </w:rPr>
              <w:t>)</w:t>
            </w:r>
            <w:r w:rsidR="001304F9">
              <w:rPr>
                <w:b/>
              </w:rPr>
              <w:t xml:space="preserve"> </w:t>
            </w:r>
            <w:r w:rsidR="001304F9" w:rsidRPr="001304F9">
              <w:rPr>
                <w:color w:val="000000" w:themeColor="text1"/>
              </w:rPr>
              <w:t xml:space="preserve">Education </w:t>
            </w:r>
            <w:r>
              <w:rPr>
                <w:color w:val="000000" w:themeColor="text1"/>
              </w:rPr>
              <w:t xml:space="preserve">has now appointed a SEND Transport Manager (due to being in March 24) and a re-advert is in place for the Transport Officer. The PTU is about to go to advert for two additional posts but these have been offered as temporary rather than permanent. </w:t>
            </w:r>
            <w:r w:rsidRPr="00D27456">
              <w:rPr>
                <w:b/>
                <w:color w:val="000000" w:themeColor="text1"/>
              </w:rPr>
              <w:t>(Jan24)</w:t>
            </w:r>
          </w:p>
          <w:p w14:paraId="12E35925" w14:textId="1E8DBF07" w:rsidR="00F32B3C" w:rsidRDefault="001304F9" w:rsidP="00755C20">
            <w:pPr>
              <w:pStyle w:val="ListParagraph"/>
              <w:numPr>
                <w:ilvl w:val="0"/>
                <w:numId w:val="2"/>
              </w:numPr>
            </w:pPr>
            <w:r>
              <w:t>Baseline data provided in Dec by the PTU suggests only 7 families have agreed take up</w:t>
            </w:r>
            <w:r w:rsidR="007B1916">
              <w:t xml:space="preserve"> personal travel budgets</w:t>
            </w:r>
            <w:r>
              <w:t xml:space="preserve">. </w:t>
            </w:r>
            <w:r w:rsidR="002725D1">
              <w:t xml:space="preserve">Temporary Staffing will be prioritising families to explore </w:t>
            </w:r>
            <w:r w:rsidR="00665BF0">
              <w:t xml:space="preserve">and promote </w:t>
            </w:r>
            <w:r w:rsidR="002725D1">
              <w:t>this with further and greater information is planned to be provided to the Parent Carers and SENDIAS.</w:t>
            </w:r>
            <w:r w:rsidR="00484474">
              <w:t xml:space="preserve"> </w:t>
            </w:r>
            <w:r w:rsidR="002725D1">
              <w:rPr>
                <w:b/>
              </w:rPr>
              <w:t>(</w:t>
            </w:r>
            <w:r w:rsidR="007B1916">
              <w:rPr>
                <w:b/>
              </w:rPr>
              <w:t>Jan24</w:t>
            </w:r>
            <w:r w:rsidR="002725D1">
              <w:rPr>
                <w:b/>
              </w:rPr>
              <w:t xml:space="preserve">) </w:t>
            </w:r>
          </w:p>
          <w:p w14:paraId="36DF8A67" w14:textId="2CEFB68C" w:rsidR="00F32B3C" w:rsidRDefault="00F32B3C" w:rsidP="00755C20">
            <w:pPr>
              <w:pStyle w:val="ListParagraph"/>
              <w:numPr>
                <w:ilvl w:val="0"/>
                <w:numId w:val="2"/>
              </w:numPr>
            </w:pPr>
            <w:r>
              <w:t>Development and implementation of fully costed independent travel training provision and resources</w:t>
            </w:r>
            <w:r w:rsidR="00041423">
              <w:t xml:space="preserve"> is being explored. A training course for Transport Officers has been identified in readiness for the officers once appointed</w:t>
            </w:r>
            <w:r>
              <w:t xml:space="preserve">. </w:t>
            </w:r>
            <w:r w:rsidR="00B03D4A">
              <w:rPr>
                <w:b/>
              </w:rPr>
              <w:t>(</w:t>
            </w:r>
            <w:r w:rsidR="007B1916">
              <w:rPr>
                <w:b/>
              </w:rPr>
              <w:t>Jan 24</w:t>
            </w:r>
            <w:r w:rsidR="00041423">
              <w:rPr>
                <w:b/>
              </w:rPr>
              <w:t xml:space="preserve">) </w:t>
            </w:r>
          </w:p>
          <w:p w14:paraId="38CD6078" w14:textId="3B33C640" w:rsidR="00F32B3C" w:rsidRPr="00755C20" w:rsidRDefault="00B03D4A" w:rsidP="00755C20">
            <w:pPr>
              <w:pStyle w:val="ListParagraph"/>
              <w:numPr>
                <w:ilvl w:val="0"/>
                <w:numId w:val="2"/>
              </w:numPr>
            </w:pPr>
            <w:r>
              <w:t xml:space="preserve">TAS </w:t>
            </w:r>
            <w:r w:rsidR="00C34DB2">
              <w:t>continue</w:t>
            </w:r>
            <w:r w:rsidR="00041423">
              <w:t>s</w:t>
            </w:r>
            <w:r w:rsidR="00C34DB2">
              <w:t xml:space="preserve"> to process new applications and determine eligibility </w:t>
            </w:r>
            <w:r w:rsidR="00041423">
              <w:t xml:space="preserve">until the new permanent staff are appointed into SENAT.  </w:t>
            </w:r>
            <w:r w:rsidR="00F32B3C">
              <w:t xml:space="preserve">The </w:t>
            </w:r>
            <w:r w:rsidR="00C34DB2">
              <w:t xml:space="preserve">service provided by TAS includes: </w:t>
            </w:r>
            <w:r w:rsidR="00F32B3C">
              <w:t xml:space="preserve"> receipt, evaluation and processing of transport applications from SEN, ASC &amp; LAC clients, and includes preparation of decision letters, transport panel secretariat, appeals and preparation of mileage &amp; other claims for processing.</w:t>
            </w:r>
            <w:r w:rsidR="00C34DB2">
              <w:t xml:space="preserve"> </w:t>
            </w:r>
            <w:r w:rsidR="00C34DB2" w:rsidRPr="00912D5D">
              <w:rPr>
                <w:b/>
              </w:rPr>
              <w:t xml:space="preserve">(TAS contract </w:t>
            </w:r>
            <w:r w:rsidR="007B1916">
              <w:rPr>
                <w:b/>
              </w:rPr>
              <w:t xml:space="preserve">has been extended and </w:t>
            </w:r>
            <w:r w:rsidR="00C34DB2" w:rsidRPr="00912D5D">
              <w:rPr>
                <w:b/>
              </w:rPr>
              <w:t>remains in place</w:t>
            </w:r>
            <w:r w:rsidR="00665BF0">
              <w:rPr>
                <w:b/>
              </w:rPr>
              <w:t xml:space="preserve"> until staffing are recruited</w:t>
            </w:r>
            <w:r w:rsidR="007B1916">
              <w:rPr>
                <w:b/>
              </w:rPr>
              <w:t xml:space="preserve"> Jan24</w:t>
            </w:r>
            <w:r w:rsidR="00C34DB2" w:rsidRPr="00912D5D">
              <w:rPr>
                <w:b/>
              </w:rPr>
              <w:t>)</w:t>
            </w:r>
          </w:p>
          <w:p w14:paraId="08069DA3" w14:textId="3B18DB30" w:rsidR="00755C20" w:rsidRPr="00755C20" w:rsidRDefault="00755C20" w:rsidP="00755C20">
            <w:pPr>
              <w:pStyle w:val="ListParagraph"/>
              <w:numPr>
                <w:ilvl w:val="0"/>
                <w:numId w:val="2"/>
              </w:numPr>
              <w:rPr>
                <w:color w:val="FF0000"/>
              </w:rPr>
            </w:pPr>
            <w:r w:rsidRPr="00665BF0">
              <w:rPr>
                <w:rFonts w:asciiTheme="minorHAnsi" w:hAnsiTheme="minorHAnsi" w:cstheme="minorHAnsi"/>
                <w:color w:val="000000" w:themeColor="text1"/>
              </w:rPr>
              <w:t xml:space="preserve">Travel eligibility included in annual reviews moving forward to assess whether transport is still required, particularly for those approaching 16+ where a move towards greater independence is to be promoted. </w:t>
            </w:r>
            <w:r w:rsidRPr="00665BF0">
              <w:rPr>
                <w:rFonts w:asciiTheme="minorHAnsi" w:hAnsiTheme="minorHAnsi" w:cstheme="minorHAnsi"/>
                <w:b/>
                <w:color w:val="000000" w:themeColor="text1"/>
              </w:rPr>
              <w:t>(</w:t>
            </w:r>
            <w:r w:rsidR="007B1916">
              <w:rPr>
                <w:rFonts w:asciiTheme="minorHAnsi" w:hAnsiTheme="minorHAnsi" w:cstheme="minorHAnsi"/>
                <w:b/>
                <w:color w:val="000000" w:themeColor="text1"/>
              </w:rPr>
              <w:t>Jan24</w:t>
            </w:r>
            <w:r w:rsidRPr="00665BF0">
              <w:rPr>
                <w:rFonts w:asciiTheme="minorHAnsi" w:hAnsiTheme="minorHAnsi" w:cstheme="minorHAnsi"/>
                <w:b/>
                <w:color w:val="000000" w:themeColor="text1"/>
              </w:rPr>
              <w:t>)</w:t>
            </w:r>
          </w:p>
          <w:p w14:paraId="5F3351ED" w14:textId="35EFB918" w:rsidR="00041423" w:rsidRPr="001304F9" w:rsidRDefault="00041423" w:rsidP="00755C20">
            <w:pPr>
              <w:pStyle w:val="ListParagraph"/>
              <w:numPr>
                <w:ilvl w:val="0"/>
                <w:numId w:val="2"/>
              </w:numPr>
              <w:rPr>
                <w:rFonts w:asciiTheme="minorHAnsi" w:hAnsiTheme="minorHAnsi" w:cstheme="minorHAnsi"/>
                <w:color w:val="FF0000"/>
              </w:rPr>
            </w:pPr>
            <w:r w:rsidRPr="00665BF0">
              <w:rPr>
                <w:rFonts w:asciiTheme="minorHAnsi" w:hAnsiTheme="minorHAnsi" w:cstheme="minorHAnsi"/>
                <w:color w:val="000000" w:themeColor="text1"/>
              </w:rPr>
              <w:t xml:space="preserve">A new governance structure has been established to strengthen budgetary accountability between Education as the Budget Holder and the PTU as the commissioner and operator of transport. This has also identified an agreed plan of action to begin the work to reduce unit costs. </w:t>
            </w:r>
            <w:r w:rsidRPr="00665BF0">
              <w:rPr>
                <w:rFonts w:asciiTheme="minorHAnsi" w:hAnsiTheme="minorHAnsi" w:cstheme="minorHAnsi"/>
                <w:b/>
                <w:color w:val="000000" w:themeColor="text1"/>
              </w:rPr>
              <w:t>(28 Nov 23)</w:t>
            </w:r>
          </w:p>
          <w:p w14:paraId="017FDAF4" w14:textId="354C01DE" w:rsidR="00665BF0" w:rsidRPr="001304F9" w:rsidRDefault="00665BF0" w:rsidP="00C0201D">
            <w:pPr>
              <w:pStyle w:val="ListParagraph"/>
              <w:numPr>
                <w:ilvl w:val="0"/>
                <w:numId w:val="2"/>
              </w:numPr>
              <w:rPr>
                <w:rFonts w:asciiTheme="minorHAnsi" w:hAnsiTheme="minorHAnsi" w:cstheme="minorHAnsi"/>
                <w:color w:val="FF0000"/>
              </w:rPr>
            </w:pPr>
            <w:r w:rsidRPr="00665BF0">
              <w:rPr>
                <w:rFonts w:asciiTheme="minorHAnsi" w:hAnsiTheme="minorHAnsi" w:cstheme="minorHAnsi"/>
                <w:color w:val="000000" w:themeColor="text1"/>
              </w:rPr>
              <w:t>Data and detail of spend has been difficult to secure due to the lack of a co-o</w:t>
            </w:r>
            <w:r w:rsidR="007B1916">
              <w:rPr>
                <w:rFonts w:asciiTheme="minorHAnsi" w:hAnsiTheme="minorHAnsi" w:cstheme="minorHAnsi"/>
                <w:color w:val="000000" w:themeColor="text1"/>
              </w:rPr>
              <w:t>rdinated data management. A b</w:t>
            </w:r>
            <w:r w:rsidRPr="00665BF0">
              <w:rPr>
                <w:rFonts w:asciiTheme="minorHAnsi" w:hAnsiTheme="minorHAnsi" w:cstheme="minorHAnsi"/>
                <w:color w:val="000000" w:themeColor="text1"/>
              </w:rPr>
              <w:t xml:space="preserve">aseline </w:t>
            </w:r>
            <w:r w:rsidR="007B1916">
              <w:rPr>
                <w:rFonts w:asciiTheme="minorHAnsi" w:hAnsiTheme="minorHAnsi" w:cstheme="minorHAnsi"/>
                <w:color w:val="000000" w:themeColor="text1"/>
              </w:rPr>
              <w:t xml:space="preserve">of Unit Costs for external transport has been identified but a similar baseline of Internal Fleet costs is to be confirmed. </w:t>
            </w:r>
            <w:r w:rsidR="00C0201D">
              <w:rPr>
                <w:rFonts w:asciiTheme="minorHAnsi" w:hAnsiTheme="minorHAnsi" w:cstheme="minorHAnsi"/>
                <w:color w:val="000000" w:themeColor="text1"/>
              </w:rPr>
              <w:t xml:space="preserve">Staff </w:t>
            </w:r>
            <w:r w:rsidR="007B1916">
              <w:rPr>
                <w:rFonts w:asciiTheme="minorHAnsi" w:hAnsiTheme="minorHAnsi" w:cstheme="minorHAnsi"/>
                <w:color w:val="000000" w:themeColor="text1"/>
              </w:rPr>
              <w:t xml:space="preserve">Capacity in the PTU is creating a challenge in providing this. Individual students receiving SEND School Transport are being checked against the list held by PTU as there are differences in data. </w:t>
            </w:r>
            <w:r w:rsidRPr="00665BF0">
              <w:rPr>
                <w:rFonts w:asciiTheme="minorHAnsi" w:hAnsiTheme="minorHAnsi" w:cstheme="minorHAnsi"/>
                <w:color w:val="000000" w:themeColor="text1"/>
              </w:rPr>
              <w:t>Detailed take up of Personal Travel Budgets is low</w:t>
            </w:r>
            <w:r w:rsidR="00C0201D">
              <w:rPr>
                <w:rFonts w:asciiTheme="minorHAnsi" w:hAnsiTheme="minorHAnsi" w:cstheme="minorHAnsi"/>
                <w:color w:val="000000" w:themeColor="text1"/>
              </w:rPr>
              <w:t xml:space="preserve"> despite this being promoted. More detailed data is lacking </w:t>
            </w:r>
            <w:r w:rsidRPr="00665BF0">
              <w:rPr>
                <w:rFonts w:asciiTheme="minorHAnsi" w:hAnsiTheme="minorHAnsi" w:cstheme="minorHAnsi"/>
                <w:color w:val="000000" w:themeColor="text1"/>
              </w:rPr>
              <w:t xml:space="preserve"> in some areas of Transport </w:t>
            </w:r>
            <w:r w:rsidR="00C0201D">
              <w:rPr>
                <w:rFonts w:asciiTheme="minorHAnsi" w:hAnsiTheme="minorHAnsi" w:cstheme="minorHAnsi"/>
                <w:color w:val="000000" w:themeColor="text1"/>
              </w:rPr>
              <w:t>but once there is additional resource via Human Engine or new staff progress will be made</w:t>
            </w:r>
            <w:r w:rsidRPr="00665BF0">
              <w:rPr>
                <w:rFonts w:asciiTheme="minorHAnsi" w:hAnsiTheme="minorHAnsi" w:cstheme="minorHAnsi"/>
                <w:color w:val="000000" w:themeColor="text1"/>
              </w:rPr>
              <w:t>.</w:t>
            </w:r>
            <w:r w:rsidRPr="00665BF0">
              <w:rPr>
                <w:rFonts w:asciiTheme="minorHAnsi" w:hAnsiTheme="minorHAnsi" w:cstheme="minorHAnsi"/>
                <w:b/>
                <w:color w:val="000000" w:themeColor="text1"/>
              </w:rPr>
              <w:t xml:space="preserve"> (</w:t>
            </w:r>
            <w:r w:rsidR="007B1916">
              <w:rPr>
                <w:rFonts w:asciiTheme="minorHAnsi" w:hAnsiTheme="minorHAnsi" w:cstheme="minorHAnsi"/>
                <w:b/>
                <w:color w:val="000000" w:themeColor="text1"/>
              </w:rPr>
              <w:t>Jan24</w:t>
            </w:r>
            <w:r w:rsidRPr="00665BF0">
              <w:rPr>
                <w:rFonts w:asciiTheme="minorHAnsi" w:hAnsiTheme="minorHAnsi" w:cstheme="minorHAnsi"/>
                <w:b/>
                <w:color w:val="000000" w:themeColor="text1"/>
              </w:rPr>
              <w:t>)</w:t>
            </w:r>
          </w:p>
          <w:p w14:paraId="5FEFED70" w14:textId="5CBB87AD" w:rsidR="00F32B3C" w:rsidRDefault="00F32B3C" w:rsidP="00755C20">
            <w:pPr>
              <w:pStyle w:val="ListParagraph"/>
              <w:numPr>
                <w:ilvl w:val="0"/>
                <w:numId w:val="2"/>
              </w:numPr>
            </w:pPr>
            <w:r>
              <w:t xml:space="preserve">Overhaul and refresh the transport policies for statutory school transport, post 16 transport </w:t>
            </w:r>
            <w:r w:rsidR="00E82548">
              <w:t>that</w:t>
            </w:r>
            <w:r w:rsidR="00032D7B">
              <w:t xml:space="preserve"> </w:t>
            </w:r>
            <w:r>
              <w:t xml:space="preserve">adhere to </w:t>
            </w:r>
            <w:r w:rsidR="00032D7B">
              <w:t>statutory</w:t>
            </w:r>
            <w:r w:rsidR="00B03D4A">
              <w:t xml:space="preserve"> guidance,</w:t>
            </w:r>
            <w:r w:rsidR="00032D7B">
              <w:t xml:space="preserve"> and are implemented following</w:t>
            </w:r>
            <w:r>
              <w:t xml:space="preserve"> consultation with key stakeholders. </w:t>
            </w:r>
            <w:r w:rsidR="00B03D4A">
              <w:rPr>
                <w:b/>
              </w:rPr>
              <w:t>(</w:t>
            </w:r>
            <w:r w:rsidR="00665BF0">
              <w:rPr>
                <w:b/>
              </w:rPr>
              <w:t xml:space="preserve">Review of existing policies </w:t>
            </w:r>
            <w:r w:rsidR="007B1916">
              <w:rPr>
                <w:b/>
              </w:rPr>
              <w:t>to be undertaken on appointment of Education Staff</w:t>
            </w:r>
            <w:r w:rsidR="004054D7">
              <w:rPr>
                <w:b/>
              </w:rPr>
              <w:t xml:space="preserve"> Jan24</w:t>
            </w:r>
            <w:r w:rsidR="00032D7B">
              <w:rPr>
                <w:b/>
              </w:rPr>
              <w:t>)</w:t>
            </w:r>
          </w:p>
          <w:p w14:paraId="1274C6B2" w14:textId="4EEDF979" w:rsidR="00F32B3C" w:rsidRPr="00665BF0" w:rsidRDefault="00F32B3C" w:rsidP="00755C20">
            <w:pPr>
              <w:pStyle w:val="ListParagraph"/>
              <w:numPr>
                <w:ilvl w:val="0"/>
                <w:numId w:val="2"/>
              </w:numPr>
            </w:pPr>
            <w:r>
              <w:t>Advise on and ensure there are safeguarding policies and training, in addition to safer recruitment practices, in place for the whole service (internal fleet and external contracts)</w:t>
            </w:r>
            <w:r w:rsidR="00C43E4C">
              <w:t xml:space="preserve">. </w:t>
            </w:r>
            <w:r w:rsidR="00C43E4C" w:rsidRPr="00912D5D">
              <w:rPr>
                <w:b/>
              </w:rPr>
              <w:t>(</w:t>
            </w:r>
            <w:r w:rsidR="00665BF0">
              <w:rPr>
                <w:b/>
              </w:rPr>
              <w:t>Safeguarding audit of the transport process</w:t>
            </w:r>
            <w:r w:rsidR="004054D7">
              <w:rPr>
                <w:b/>
              </w:rPr>
              <w:t xml:space="preserve"> is planned for April 24 – Jan24)</w:t>
            </w:r>
            <w:r w:rsidR="00665BF0">
              <w:rPr>
                <w:b/>
              </w:rPr>
              <w:t xml:space="preserve"> </w:t>
            </w:r>
          </w:p>
          <w:p w14:paraId="24F74872" w14:textId="3FF06CF4" w:rsidR="00F32B3C" w:rsidRDefault="00F32B3C" w:rsidP="00755C20">
            <w:pPr>
              <w:pStyle w:val="ListParagraph"/>
              <w:numPr>
                <w:ilvl w:val="0"/>
                <w:numId w:val="2"/>
              </w:numPr>
            </w:pPr>
            <w:r>
              <w:t xml:space="preserve">Development of a dashboard of management information with links into financial and other systems to provide easily digestible and accurate data that can be used for reporting to cover both internal &amp; external commissioned services. This needs to be linked to LBC corporate data sources </w:t>
            </w:r>
            <w:r w:rsidR="00C43E4C" w:rsidRPr="00912D5D">
              <w:rPr>
                <w:b/>
              </w:rPr>
              <w:t>(</w:t>
            </w:r>
            <w:r w:rsidR="00E82548">
              <w:rPr>
                <w:b/>
              </w:rPr>
              <w:t>awaiting</w:t>
            </w:r>
            <w:r w:rsidR="004054D7">
              <w:rPr>
                <w:b/>
              </w:rPr>
              <w:t xml:space="preserve"> </w:t>
            </w:r>
            <w:r w:rsidR="00E82548">
              <w:rPr>
                <w:b/>
              </w:rPr>
              <w:t>input from Human Engine</w:t>
            </w:r>
            <w:r w:rsidR="004054D7">
              <w:rPr>
                <w:b/>
              </w:rPr>
              <w:t xml:space="preserve"> Jan24</w:t>
            </w:r>
            <w:r w:rsidR="00C43E4C" w:rsidRPr="00912D5D">
              <w:rPr>
                <w:b/>
              </w:rPr>
              <w:t>)</w:t>
            </w:r>
          </w:p>
          <w:p w14:paraId="34A60B73" w14:textId="0472F062" w:rsidR="00F32B3C" w:rsidRDefault="00C0201D" w:rsidP="00062F70">
            <w:pPr>
              <w:pStyle w:val="ListParagraph"/>
              <w:numPr>
                <w:ilvl w:val="0"/>
                <w:numId w:val="2"/>
              </w:numPr>
            </w:pPr>
            <w:r>
              <w:lastRenderedPageBreak/>
              <w:t>Routes are reviewed regularly to ensure efficiency, to avoid</w:t>
            </w:r>
            <w:bookmarkStart w:id="0" w:name="_GoBack"/>
            <w:bookmarkEnd w:id="0"/>
            <w:r w:rsidR="00F32B3C">
              <w:t xml:space="preserve"> cost</w:t>
            </w:r>
            <w:r>
              <w:t>s</w:t>
            </w:r>
            <w:r w:rsidR="00F32B3C">
              <w:t xml:space="preserve"> </w:t>
            </w:r>
            <w:r>
              <w:t>and</w:t>
            </w:r>
            <w:r w:rsidR="00F32B3C">
              <w:t xml:space="preserve"> </w:t>
            </w:r>
            <w:r>
              <w:t xml:space="preserve">reduce overspend to </w:t>
            </w:r>
            <w:r w:rsidR="00E4664C">
              <w:t xml:space="preserve">endeavour to keep </w:t>
            </w:r>
            <w:r w:rsidR="00F32B3C">
              <w:t>the service within the budget</w:t>
            </w:r>
            <w:r w:rsidR="00E4664C">
              <w:t>.</w:t>
            </w:r>
            <w:r w:rsidR="00062F70">
              <w:t xml:space="preserve"> </w:t>
            </w:r>
            <w:r w:rsidR="00E4664C">
              <w:t xml:space="preserve">More </w:t>
            </w:r>
            <w:r w:rsidR="00F32B3C">
              <w:t xml:space="preserve"> analysis and </w:t>
            </w:r>
            <w:r w:rsidR="00E4664C">
              <w:t xml:space="preserve">review of </w:t>
            </w:r>
            <w:r w:rsidR="00F32B3C">
              <w:t>processes to enable regular re-configuration  of routes</w:t>
            </w:r>
            <w:r w:rsidR="00E4664C">
              <w:t xml:space="preserve"> is needed</w:t>
            </w:r>
            <w:r w:rsidR="00F32B3C">
              <w:t xml:space="preserve"> to assess opportunities to gain efficiencies </w:t>
            </w:r>
            <w:r w:rsidR="00B03D4A" w:rsidRPr="00E4664C">
              <w:rPr>
                <w:b/>
              </w:rPr>
              <w:t>(planned but more work to be done</w:t>
            </w:r>
            <w:r w:rsidR="00C43E4C" w:rsidRPr="00E4664C">
              <w:rPr>
                <w:b/>
              </w:rPr>
              <w:t xml:space="preserve">, dependent on additional staffing resource </w:t>
            </w:r>
            <w:r w:rsidR="00755C20" w:rsidRPr="00E4664C">
              <w:rPr>
                <w:b/>
              </w:rPr>
              <w:t xml:space="preserve">in PTU </w:t>
            </w:r>
            <w:r w:rsidR="00C43E4C" w:rsidRPr="00E4664C">
              <w:rPr>
                <w:b/>
              </w:rPr>
              <w:t>and input from Human Engine</w:t>
            </w:r>
            <w:r w:rsidR="004054D7" w:rsidRPr="00E4664C">
              <w:rPr>
                <w:b/>
              </w:rPr>
              <w:t xml:space="preserve"> Jan24</w:t>
            </w:r>
            <w:r w:rsidR="00B03D4A" w:rsidRPr="00E4664C">
              <w:rPr>
                <w:b/>
              </w:rPr>
              <w:t>)</w:t>
            </w:r>
          </w:p>
          <w:p w14:paraId="611212E4" w14:textId="2CB01736" w:rsidR="00F32B3C" w:rsidRDefault="00755C20" w:rsidP="00755C20">
            <w:pPr>
              <w:pStyle w:val="ListParagraph"/>
              <w:numPr>
                <w:ilvl w:val="0"/>
                <w:numId w:val="2"/>
              </w:numPr>
            </w:pPr>
            <w:r>
              <w:t>PTU to d</w:t>
            </w:r>
            <w:r w:rsidR="00F32B3C">
              <w:t>evelop the market to provide more choice, improve competition, meet demand and provide value for money- ensuring this is in line with LBC corporate goals eg procurement, economic growth, social value and employment</w:t>
            </w:r>
            <w:r w:rsidR="00C43E4C">
              <w:t xml:space="preserve"> </w:t>
            </w:r>
            <w:r w:rsidR="00C43E4C" w:rsidRPr="00912D5D">
              <w:rPr>
                <w:b/>
              </w:rPr>
              <w:t>(</w:t>
            </w:r>
            <w:r w:rsidR="004054D7">
              <w:rPr>
                <w:b/>
              </w:rPr>
              <w:t xml:space="preserve">PTU to explore </w:t>
            </w:r>
            <w:r w:rsidR="00C43E4C" w:rsidRPr="00912D5D">
              <w:rPr>
                <w:b/>
              </w:rPr>
              <w:t>input from Human Engine</w:t>
            </w:r>
            <w:r w:rsidR="004054D7">
              <w:rPr>
                <w:b/>
              </w:rPr>
              <w:t xml:space="preserve"> Jan24</w:t>
            </w:r>
            <w:r w:rsidR="00C43E4C" w:rsidRPr="00912D5D">
              <w:rPr>
                <w:b/>
              </w:rPr>
              <w:t>)</w:t>
            </w:r>
          </w:p>
          <w:p w14:paraId="0D6BA60C" w14:textId="2A9CFC9A" w:rsidR="00F32B3C" w:rsidRDefault="00755C20" w:rsidP="00755C20">
            <w:pPr>
              <w:pStyle w:val="ListParagraph"/>
              <w:numPr>
                <w:ilvl w:val="0"/>
                <w:numId w:val="2"/>
              </w:numPr>
            </w:pPr>
            <w:r>
              <w:t>PTU to d</w:t>
            </w:r>
            <w:r w:rsidR="00F32B3C">
              <w:t>evelop and propose a fully costed &amp; clear strategy to right size the internal fleet and improve value for money</w:t>
            </w:r>
            <w:r w:rsidR="00C43E4C">
              <w:t xml:space="preserve"> </w:t>
            </w:r>
            <w:r w:rsidR="00C43E4C" w:rsidRPr="00912D5D">
              <w:rPr>
                <w:b/>
              </w:rPr>
              <w:t>(</w:t>
            </w:r>
            <w:r w:rsidR="004054D7">
              <w:rPr>
                <w:b/>
              </w:rPr>
              <w:t xml:space="preserve">PTU to explore </w:t>
            </w:r>
            <w:r w:rsidR="00C43E4C" w:rsidRPr="00912D5D">
              <w:rPr>
                <w:b/>
              </w:rPr>
              <w:t>input from Human Engine</w:t>
            </w:r>
            <w:r w:rsidR="004054D7">
              <w:rPr>
                <w:b/>
              </w:rPr>
              <w:t xml:space="preserve"> Jan24</w:t>
            </w:r>
            <w:r w:rsidR="00C43E4C" w:rsidRPr="00912D5D">
              <w:rPr>
                <w:b/>
              </w:rPr>
              <w:t>)</w:t>
            </w:r>
          </w:p>
          <w:p w14:paraId="75CDDF71" w14:textId="25A2D856" w:rsidR="00F32B3C" w:rsidRDefault="00F32B3C" w:rsidP="00755C20">
            <w:pPr>
              <w:pStyle w:val="ListParagraph"/>
              <w:numPr>
                <w:ilvl w:val="0"/>
                <w:numId w:val="2"/>
              </w:numPr>
            </w:pPr>
            <w:r>
              <w:t>The development and implementation of key performance indicators for internal and commissioned services</w:t>
            </w:r>
            <w:r w:rsidR="00C43E4C">
              <w:t xml:space="preserve"> </w:t>
            </w:r>
            <w:r w:rsidR="00C43E4C" w:rsidRPr="00912D5D">
              <w:rPr>
                <w:b/>
              </w:rPr>
              <w:t>(</w:t>
            </w:r>
            <w:r w:rsidR="004054D7">
              <w:rPr>
                <w:b/>
              </w:rPr>
              <w:t>PTU to explore</w:t>
            </w:r>
            <w:r w:rsidR="00C43E4C" w:rsidRPr="00912D5D">
              <w:rPr>
                <w:b/>
              </w:rPr>
              <w:t xml:space="preserve"> input from Human Engine</w:t>
            </w:r>
            <w:r w:rsidR="004054D7">
              <w:rPr>
                <w:b/>
              </w:rPr>
              <w:t xml:space="preserve"> Jan24</w:t>
            </w:r>
            <w:r w:rsidR="00C43E4C" w:rsidRPr="00912D5D">
              <w:rPr>
                <w:b/>
              </w:rPr>
              <w:t>)</w:t>
            </w:r>
          </w:p>
          <w:p w14:paraId="7601DE05" w14:textId="3E9F6859" w:rsidR="00F32B3C" w:rsidRDefault="00E4664C" w:rsidP="00755C20">
            <w:pPr>
              <w:pStyle w:val="ListParagraph"/>
              <w:numPr>
                <w:ilvl w:val="0"/>
                <w:numId w:val="2"/>
              </w:numPr>
            </w:pPr>
            <w:r>
              <w:t>Education to develop and implement</w:t>
            </w:r>
            <w:r w:rsidR="00F32B3C">
              <w:t xml:space="preserve"> a communication plan with stakeholders including schools, parent groups </w:t>
            </w:r>
            <w:r w:rsidR="00C43E4C">
              <w:t>(</w:t>
            </w:r>
            <w:r w:rsidR="004054D7">
              <w:rPr>
                <w:b/>
              </w:rPr>
              <w:t>to be implemented</w:t>
            </w:r>
            <w:r w:rsidR="00755C20">
              <w:rPr>
                <w:b/>
              </w:rPr>
              <w:t xml:space="preserve"> by new permanent team</w:t>
            </w:r>
            <w:r w:rsidR="004054D7">
              <w:rPr>
                <w:b/>
              </w:rPr>
              <w:t xml:space="preserve"> Jan24</w:t>
            </w:r>
            <w:r w:rsidR="00C43E4C">
              <w:rPr>
                <w:b/>
              </w:rPr>
              <w:t>)</w:t>
            </w:r>
          </w:p>
          <w:p w14:paraId="2273F061" w14:textId="724BCB98" w:rsidR="00F32B3C" w:rsidRPr="00912D5D" w:rsidRDefault="00755C20" w:rsidP="00755C20">
            <w:pPr>
              <w:pStyle w:val="ListParagraph"/>
              <w:numPr>
                <w:ilvl w:val="0"/>
                <w:numId w:val="2"/>
              </w:numPr>
              <w:rPr>
                <w:b/>
              </w:rPr>
            </w:pPr>
            <w:r>
              <w:t>Develop and implement</w:t>
            </w:r>
            <w:r w:rsidR="00F32B3C">
              <w:t xml:space="preserve"> the contract management functions for external provision </w:t>
            </w:r>
            <w:r w:rsidR="002E6195" w:rsidRPr="00912D5D">
              <w:rPr>
                <w:b/>
              </w:rPr>
              <w:t>(</w:t>
            </w:r>
            <w:r w:rsidR="004054D7">
              <w:rPr>
                <w:b/>
              </w:rPr>
              <w:t xml:space="preserve">PTU appointing </w:t>
            </w:r>
            <w:r w:rsidR="002E6195" w:rsidRPr="00912D5D">
              <w:rPr>
                <w:b/>
              </w:rPr>
              <w:t>additional staffing for the PTU</w:t>
            </w:r>
            <w:r w:rsidR="004054D7">
              <w:rPr>
                <w:b/>
              </w:rPr>
              <w:t xml:space="preserve"> on a temporary basis – long term staffing and budget still to be agreed Jan24</w:t>
            </w:r>
            <w:r w:rsidR="002E6195" w:rsidRPr="00912D5D">
              <w:rPr>
                <w:b/>
              </w:rPr>
              <w:t>)</w:t>
            </w:r>
          </w:p>
          <w:p w14:paraId="54D971E2" w14:textId="344BB4EB" w:rsidR="00F32B3C" w:rsidRPr="00912D5D" w:rsidRDefault="00F32B3C" w:rsidP="00755C20">
            <w:pPr>
              <w:pStyle w:val="ListParagraph"/>
              <w:numPr>
                <w:ilvl w:val="0"/>
                <w:numId w:val="2"/>
              </w:numPr>
              <w:rPr>
                <w:b/>
              </w:rPr>
            </w:pPr>
            <w:r>
              <w:t xml:space="preserve">Propose and implement systems to ensure the accuracy of payments for services (including </w:t>
            </w:r>
            <w:r w:rsidR="00755C20">
              <w:t xml:space="preserve">internal recharges) and robust </w:t>
            </w:r>
            <w:r>
              <w:t xml:space="preserve">budget management processes, ensuring spend is accounted for. </w:t>
            </w:r>
            <w:r w:rsidR="002E6195" w:rsidRPr="00912D5D">
              <w:rPr>
                <w:b/>
              </w:rPr>
              <w:t>(dependent on additional staffing resource to support SENAT’s oversight of the budget</w:t>
            </w:r>
            <w:r w:rsidR="004054D7">
              <w:rPr>
                <w:b/>
              </w:rPr>
              <w:t xml:space="preserve"> Jan24</w:t>
            </w:r>
            <w:r w:rsidR="002E6195" w:rsidRPr="00912D5D">
              <w:rPr>
                <w:b/>
              </w:rPr>
              <w:t>)</w:t>
            </w:r>
          </w:p>
          <w:p w14:paraId="76F8C280" w14:textId="493BA582" w:rsidR="00755C20" w:rsidRPr="00755C20" w:rsidRDefault="002E6195" w:rsidP="00755C20">
            <w:pPr>
              <w:pStyle w:val="ListParagraph"/>
              <w:numPr>
                <w:ilvl w:val="0"/>
                <w:numId w:val="2"/>
              </w:numPr>
              <w:rPr>
                <w:rFonts w:asciiTheme="minorHAnsi" w:hAnsiTheme="minorHAnsi" w:cstheme="minorHAnsi"/>
                <w:color w:val="FF0000"/>
              </w:rPr>
            </w:pPr>
            <w:r>
              <w:t>P</w:t>
            </w:r>
            <w:r w:rsidR="00F32B3C">
              <w:t>rocurement software to develop effective and efficient route planning ensuring that current LBC software Liquid logic/E</w:t>
            </w:r>
            <w:r>
              <w:t>YES</w:t>
            </w:r>
            <w:r w:rsidR="00F32B3C">
              <w:t xml:space="preserve"> is taken into account and configure the new system to maximise functionality</w:t>
            </w:r>
            <w:r w:rsidR="00755C20">
              <w:t>.</w:t>
            </w:r>
            <w:r>
              <w:t xml:space="preserve"> </w:t>
            </w:r>
            <w:r w:rsidR="00755C20" w:rsidRPr="00665BF0">
              <w:rPr>
                <w:rFonts w:asciiTheme="minorHAnsi" w:hAnsiTheme="minorHAnsi" w:cstheme="minorHAnsi"/>
                <w:color w:val="000000" w:themeColor="text1"/>
              </w:rPr>
              <w:t xml:space="preserve">IT based scheduling tools are being explored to see whether this may create additional efficiencies. </w:t>
            </w:r>
            <w:r w:rsidR="00755C20" w:rsidRPr="00665BF0">
              <w:rPr>
                <w:rFonts w:asciiTheme="minorHAnsi" w:hAnsiTheme="minorHAnsi" w:cstheme="minorHAnsi"/>
                <w:b/>
                <w:color w:val="000000" w:themeColor="text1"/>
              </w:rPr>
              <w:t>(</w:t>
            </w:r>
            <w:r w:rsidR="004054D7">
              <w:rPr>
                <w:rFonts w:asciiTheme="minorHAnsi" w:hAnsiTheme="minorHAnsi" w:cstheme="minorHAnsi"/>
                <w:b/>
                <w:color w:val="000000" w:themeColor="text1"/>
              </w:rPr>
              <w:t>Input to the Governance Board required from suppliers on the back of Human Engine involvement Jan24</w:t>
            </w:r>
            <w:r w:rsidR="00755C20" w:rsidRPr="00665BF0">
              <w:rPr>
                <w:rFonts w:asciiTheme="minorHAnsi" w:hAnsiTheme="minorHAnsi" w:cstheme="minorHAnsi"/>
                <w:b/>
                <w:color w:val="000000" w:themeColor="text1"/>
              </w:rPr>
              <w:t>)</w:t>
            </w:r>
          </w:p>
          <w:p w14:paraId="0BFE5306" w14:textId="47D3937C" w:rsidR="00755C20" w:rsidRPr="00755C20" w:rsidRDefault="00755C20" w:rsidP="00755C20">
            <w:pPr>
              <w:pStyle w:val="ListParagraph"/>
              <w:numPr>
                <w:ilvl w:val="0"/>
                <w:numId w:val="2"/>
              </w:numPr>
              <w:rPr>
                <w:rFonts w:asciiTheme="minorHAnsi" w:hAnsiTheme="minorHAnsi" w:cstheme="minorHAnsi"/>
                <w:color w:val="000000" w:themeColor="text1"/>
              </w:rPr>
            </w:pPr>
            <w:r w:rsidRPr="00755C20">
              <w:rPr>
                <w:rFonts w:asciiTheme="minorHAnsi" w:hAnsiTheme="minorHAnsi" w:cstheme="minorHAnsi"/>
                <w:color w:val="000000" w:themeColor="text1"/>
              </w:rPr>
              <w:t xml:space="preserve">Development of a longer term SEMH Strategy for Luton is currently taking place which will also include the case for two new local special schools for SEMH children with complex needs, reducing the need for out of borough placements and travel costs for this group. </w:t>
            </w:r>
            <w:r w:rsidR="004054D7">
              <w:rPr>
                <w:rFonts w:asciiTheme="minorHAnsi" w:hAnsiTheme="minorHAnsi" w:cstheme="minorHAnsi"/>
                <w:b/>
                <w:color w:val="000000" w:themeColor="text1"/>
              </w:rPr>
              <w:t>(</w:t>
            </w:r>
            <w:r>
              <w:rPr>
                <w:rFonts w:asciiTheme="minorHAnsi" w:hAnsiTheme="minorHAnsi" w:cstheme="minorHAnsi"/>
                <w:b/>
                <w:color w:val="000000" w:themeColor="text1"/>
              </w:rPr>
              <w:t>initiated Jan 24)</w:t>
            </w:r>
          </w:p>
          <w:p w14:paraId="19953426" w14:textId="72B1345A" w:rsidR="00755C20" w:rsidRPr="00755C20" w:rsidRDefault="00755C20" w:rsidP="00755C20">
            <w:pPr>
              <w:pStyle w:val="ListParagraph"/>
              <w:numPr>
                <w:ilvl w:val="0"/>
                <w:numId w:val="2"/>
              </w:numPr>
              <w:rPr>
                <w:rFonts w:asciiTheme="minorHAnsi" w:hAnsiTheme="minorHAnsi" w:cstheme="minorHAnsi"/>
                <w:color w:val="000000" w:themeColor="text1"/>
              </w:rPr>
            </w:pPr>
            <w:r w:rsidRPr="00755C20">
              <w:rPr>
                <w:rFonts w:asciiTheme="minorHAnsi" w:hAnsiTheme="minorHAnsi" w:cstheme="minorHAnsi"/>
                <w:color w:val="000000" w:themeColor="text1"/>
              </w:rPr>
              <w:t xml:space="preserve">A Post 16 SEND Strategy is being developed including greater independence and travel independence to mainstream colleges in area. </w:t>
            </w:r>
            <w:r w:rsidR="004054D7">
              <w:rPr>
                <w:rFonts w:asciiTheme="minorHAnsi" w:hAnsiTheme="minorHAnsi" w:cstheme="minorHAnsi"/>
                <w:b/>
                <w:color w:val="000000" w:themeColor="text1"/>
              </w:rPr>
              <w:t>(</w:t>
            </w:r>
            <w:r>
              <w:rPr>
                <w:rFonts w:asciiTheme="minorHAnsi" w:hAnsiTheme="minorHAnsi" w:cstheme="minorHAnsi"/>
                <w:b/>
                <w:color w:val="000000" w:themeColor="text1"/>
              </w:rPr>
              <w:t>initiated Jan 24)</w:t>
            </w:r>
          </w:p>
          <w:p w14:paraId="62518E03" w14:textId="627A8745" w:rsidR="002A26EE" w:rsidRPr="002A26EE" w:rsidRDefault="002A26EE" w:rsidP="00755C20">
            <w:pPr>
              <w:pStyle w:val="ListParagraph"/>
            </w:pPr>
          </w:p>
        </w:tc>
      </w:tr>
      <w:tr w:rsidR="00E14CD3" w14:paraId="756E06F7" w14:textId="77777777" w:rsidTr="00E14CD3">
        <w:tc>
          <w:tcPr>
            <w:tcW w:w="9016" w:type="dxa"/>
            <w:gridSpan w:val="2"/>
            <w:shd w:val="pct30" w:color="auto" w:fill="auto"/>
          </w:tcPr>
          <w:p w14:paraId="444DBD90" w14:textId="77777777" w:rsidR="00E14CD3" w:rsidRPr="00E14CD3" w:rsidRDefault="00E14CD3" w:rsidP="001C7161">
            <w:pPr>
              <w:rPr>
                <w:b/>
              </w:rPr>
            </w:pPr>
            <w:r>
              <w:rPr>
                <w:b/>
              </w:rPr>
              <w:lastRenderedPageBreak/>
              <w:t>QUARTER 1 (to 30/06/23)</w:t>
            </w:r>
          </w:p>
        </w:tc>
      </w:tr>
      <w:tr w:rsidR="00236442" w14:paraId="44313B4E" w14:textId="77777777" w:rsidTr="00236442">
        <w:tc>
          <w:tcPr>
            <w:tcW w:w="7366" w:type="dxa"/>
          </w:tcPr>
          <w:p w14:paraId="190E20C7" w14:textId="4061C576" w:rsidR="00236442" w:rsidRDefault="00236442" w:rsidP="00F21D47">
            <w:r>
              <w:t>On Target  Partial (e.g. milestones slipped) = AMBER</w:t>
            </w:r>
          </w:p>
        </w:tc>
        <w:tc>
          <w:tcPr>
            <w:tcW w:w="1650" w:type="dxa"/>
          </w:tcPr>
          <w:p w14:paraId="4E0C2D43" w14:textId="77777777" w:rsidR="00236442" w:rsidRDefault="00236442" w:rsidP="001C7161"/>
        </w:tc>
      </w:tr>
      <w:tr w:rsidR="00236442" w14:paraId="011A34BB" w14:textId="77777777" w:rsidTr="00E14CD3">
        <w:tc>
          <w:tcPr>
            <w:tcW w:w="9016" w:type="dxa"/>
            <w:gridSpan w:val="2"/>
          </w:tcPr>
          <w:p w14:paraId="2FBD029E" w14:textId="77777777" w:rsidR="00236442" w:rsidRDefault="00236442" w:rsidP="001C7161">
            <w:r>
              <w:t>Provide narrative below</w:t>
            </w:r>
          </w:p>
        </w:tc>
      </w:tr>
      <w:tr w:rsidR="00236442" w14:paraId="4E9B04BA" w14:textId="77777777" w:rsidTr="00E14CD3">
        <w:tc>
          <w:tcPr>
            <w:tcW w:w="9016" w:type="dxa"/>
            <w:gridSpan w:val="2"/>
          </w:tcPr>
          <w:p w14:paraId="6565886D" w14:textId="77777777" w:rsidR="00236442" w:rsidRDefault="00C83D5E" w:rsidP="00585DD2">
            <w:r>
              <w:t>Phase 1 of wider PTU transformation project ends 31/7/23</w:t>
            </w:r>
          </w:p>
          <w:p w14:paraId="032FBB08" w14:textId="46299A40" w:rsidR="00622DEC" w:rsidRDefault="00622DEC" w:rsidP="00912D5D">
            <w:pPr>
              <w:ind w:left="24"/>
            </w:pPr>
            <w:r>
              <w:t>Q1 variance £1,048k (£906k SEND transport EL 7572)</w:t>
            </w:r>
          </w:p>
          <w:p w14:paraId="7BCEEA36" w14:textId="77777777" w:rsidR="00AC0593" w:rsidRPr="00912D5D" w:rsidRDefault="00AC0593" w:rsidP="00912D5D">
            <w:pPr>
              <w:pStyle w:val="NumberedParagraph"/>
              <w:numPr>
                <w:ilvl w:val="0"/>
                <w:numId w:val="0"/>
              </w:numPr>
              <w:ind w:left="24" w:firstLine="24"/>
              <w:rPr>
                <w:rFonts w:asciiTheme="minorHAnsi" w:hAnsiTheme="minorHAnsi" w:cstheme="minorHAnsi"/>
                <w:sz w:val="22"/>
                <w:szCs w:val="22"/>
              </w:rPr>
            </w:pPr>
            <w:r w:rsidRPr="00912D5D">
              <w:rPr>
                <w:rFonts w:asciiTheme="minorHAnsi" w:hAnsiTheme="minorHAnsi" w:cstheme="minorHAnsi"/>
                <w:sz w:val="22"/>
                <w:szCs w:val="22"/>
              </w:rPr>
              <w:t xml:space="preserve">During their six months working with the Council, Edge developed a personal transport budget option and rationalised some routes, reporting cost avoidance of £136k.  </w:t>
            </w:r>
          </w:p>
          <w:p w14:paraId="450F6CD4" w14:textId="77777777" w:rsidR="00AC0593" w:rsidRDefault="00AC0593" w:rsidP="00585DD2"/>
          <w:p w14:paraId="5926E364" w14:textId="77777777" w:rsidR="002A26EE" w:rsidRDefault="002A26EE" w:rsidP="00585DD2"/>
          <w:p w14:paraId="43EE6A18" w14:textId="77777777" w:rsidR="00585DD2" w:rsidRDefault="00585DD2" w:rsidP="00585DD2"/>
          <w:p w14:paraId="2C68E161" w14:textId="77777777" w:rsidR="00585DD2" w:rsidRDefault="00585DD2" w:rsidP="00585DD2"/>
        </w:tc>
      </w:tr>
      <w:tr w:rsidR="00E14CD3" w14:paraId="2CD6867D" w14:textId="77777777" w:rsidTr="00E14CD3">
        <w:tc>
          <w:tcPr>
            <w:tcW w:w="9016" w:type="dxa"/>
            <w:gridSpan w:val="2"/>
            <w:shd w:val="pct30" w:color="auto" w:fill="auto"/>
          </w:tcPr>
          <w:p w14:paraId="2C114025" w14:textId="77777777" w:rsidR="00E14CD3" w:rsidRPr="00E14CD3" w:rsidRDefault="00E14CD3" w:rsidP="001C7161">
            <w:pPr>
              <w:rPr>
                <w:b/>
              </w:rPr>
            </w:pPr>
            <w:r>
              <w:rPr>
                <w:b/>
              </w:rPr>
              <w:t>QUARTER 2 (to 30/09/23)</w:t>
            </w:r>
          </w:p>
        </w:tc>
      </w:tr>
      <w:tr w:rsidR="00236442" w14:paraId="3651F2AC" w14:textId="77777777" w:rsidTr="00B03D4A">
        <w:tc>
          <w:tcPr>
            <w:tcW w:w="7366" w:type="dxa"/>
          </w:tcPr>
          <w:p w14:paraId="3CF221FB" w14:textId="77777777" w:rsidR="00236442" w:rsidRDefault="00236442" w:rsidP="00236442">
            <w:r>
              <w:t>On Target ? (Yes = GREEN; Partial (e.g. milestones slipped) = AMBER, No = RED)</w:t>
            </w:r>
          </w:p>
        </w:tc>
        <w:tc>
          <w:tcPr>
            <w:tcW w:w="1650" w:type="dxa"/>
            <w:shd w:val="clear" w:color="auto" w:fill="FF0000"/>
          </w:tcPr>
          <w:p w14:paraId="300E7958" w14:textId="77777777" w:rsidR="00236442" w:rsidRDefault="00236442" w:rsidP="00236442"/>
        </w:tc>
      </w:tr>
      <w:tr w:rsidR="00236442" w14:paraId="64366E1D" w14:textId="77777777" w:rsidTr="00E14CD3">
        <w:tc>
          <w:tcPr>
            <w:tcW w:w="9016" w:type="dxa"/>
            <w:gridSpan w:val="2"/>
          </w:tcPr>
          <w:p w14:paraId="00D771D3" w14:textId="77777777" w:rsidR="00236442" w:rsidRDefault="00236442" w:rsidP="00236442">
            <w:r>
              <w:t>Provide narrative below</w:t>
            </w:r>
          </w:p>
        </w:tc>
      </w:tr>
      <w:tr w:rsidR="00236442" w14:paraId="4F185403" w14:textId="77777777" w:rsidTr="00E14CD3">
        <w:tc>
          <w:tcPr>
            <w:tcW w:w="9016" w:type="dxa"/>
            <w:gridSpan w:val="2"/>
          </w:tcPr>
          <w:p w14:paraId="172B2CCD" w14:textId="36732A6C" w:rsidR="00236442" w:rsidRDefault="00B03D4A" w:rsidP="00236442">
            <w:r>
              <w:t>Work</w:t>
            </w:r>
            <w:r w:rsidR="00AC0593">
              <w:t xml:space="preserve"> on personal transport budgets</w:t>
            </w:r>
            <w:r>
              <w:t xml:space="preserve"> undertaken</w:t>
            </w:r>
            <w:r w:rsidR="00AC0593">
              <w:t xml:space="preserve"> by Edge </w:t>
            </w:r>
            <w:r w:rsidR="00C1391C">
              <w:t>has not been fully implemented</w:t>
            </w:r>
            <w:r>
              <w:t xml:space="preserve">. </w:t>
            </w:r>
            <w:r w:rsidR="00C1391C">
              <w:t>A p</w:t>
            </w:r>
            <w:r>
              <w:t>olicy paper and suggested direction</w:t>
            </w:r>
            <w:r w:rsidR="00C1391C">
              <w:t xml:space="preserve"> is</w:t>
            </w:r>
            <w:r>
              <w:t xml:space="preserve"> going to CLMT late September with a clear plan moving forward. </w:t>
            </w:r>
            <w:r>
              <w:lastRenderedPageBreak/>
              <w:t>Human Engine have be</w:t>
            </w:r>
            <w:r w:rsidR="00C1391C">
              <w:t>en</w:t>
            </w:r>
            <w:r>
              <w:t xml:space="preserve"> engaged in initial conversations with a business case currently in construction.</w:t>
            </w:r>
          </w:p>
          <w:p w14:paraId="6E626061" w14:textId="77777777" w:rsidR="00236442" w:rsidRDefault="00236442" w:rsidP="00236442"/>
        </w:tc>
      </w:tr>
      <w:tr w:rsidR="00236442" w14:paraId="237F56BD" w14:textId="77777777" w:rsidTr="00E14CD3">
        <w:tc>
          <w:tcPr>
            <w:tcW w:w="9016" w:type="dxa"/>
            <w:gridSpan w:val="2"/>
            <w:shd w:val="pct30" w:color="auto" w:fill="auto"/>
          </w:tcPr>
          <w:p w14:paraId="735BCAC8" w14:textId="77777777" w:rsidR="00236442" w:rsidRPr="00E14CD3" w:rsidRDefault="00236442" w:rsidP="00236442">
            <w:pPr>
              <w:rPr>
                <w:b/>
              </w:rPr>
            </w:pPr>
            <w:r>
              <w:rPr>
                <w:b/>
              </w:rPr>
              <w:lastRenderedPageBreak/>
              <w:t>QUARTER 3 (to 31/12/23)</w:t>
            </w:r>
          </w:p>
        </w:tc>
      </w:tr>
      <w:tr w:rsidR="00236442" w14:paraId="0494A6C0" w14:textId="77777777" w:rsidTr="004054D7">
        <w:tc>
          <w:tcPr>
            <w:tcW w:w="7366" w:type="dxa"/>
          </w:tcPr>
          <w:p w14:paraId="672F62B4" w14:textId="77777777" w:rsidR="00236442" w:rsidRDefault="00236442" w:rsidP="00236442">
            <w:r>
              <w:t>On Target ? (Yes = GREEN; Partial (e.g. milestones slipped) = AMBER, No = RED)</w:t>
            </w:r>
          </w:p>
        </w:tc>
        <w:tc>
          <w:tcPr>
            <w:tcW w:w="1650" w:type="dxa"/>
            <w:shd w:val="clear" w:color="auto" w:fill="FF0000"/>
          </w:tcPr>
          <w:p w14:paraId="1FEA8FA0" w14:textId="77777777" w:rsidR="00236442" w:rsidRDefault="00236442" w:rsidP="00236442"/>
        </w:tc>
      </w:tr>
      <w:tr w:rsidR="00236442" w14:paraId="508C42D2" w14:textId="77777777" w:rsidTr="00E14CD3">
        <w:tc>
          <w:tcPr>
            <w:tcW w:w="9016" w:type="dxa"/>
            <w:gridSpan w:val="2"/>
          </w:tcPr>
          <w:p w14:paraId="55CDBB03" w14:textId="77777777" w:rsidR="00236442" w:rsidRDefault="00236442" w:rsidP="00236442">
            <w:r>
              <w:t>Provide narrative below</w:t>
            </w:r>
          </w:p>
        </w:tc>
      </w:tr>
      <w:tr w:rsidR="00236442" w14:paraId="345329E7" w14:textId="77777777" w:rsidTr="00E14CD3">
        <w:tc>
          <w:tcPr>
            <w:tcW w:w="9016" w:type="dxa"/>
            <w:gridSpan w:val="2"/>
          </w:tcPr>
          <w:p w14:paraId="2FEC5F3C" w14:textId="4A90F390" w:rsidR="00236442" w:rsidRDefault="004054D7" w:rsidP="00236442">
            <w:r>
              <w:t>Whilst there is movement on staffing in the Education Service with starting date for March 2024, there are some significant issues surrounding the PTU’s capacity to work on both data and actions for change. Progress in capturing accurate and triangulated data is slow and inhibiting a full and accurate analysis of costs and Unit Cost variations between external and internal fleet, thereby creating a difficulty in creating a realistic transport improvement plan which would include capital investment into the fleet, IT investment and a restructuring of ways of working.</w:t>
            </w:r>
          </w:p>
          <w:p w14:paraId="35DCA6FE" w14:textId="6CFF2348" w:rsidR="004054D7" w:rsidRDefault="004054D7" w:rsidP="00236442"/>
          <w:p w14:paraId="12F9662A" w14:textId="5D40E0C2" w:rsidR="004054D7" w:rsidRDefault="004054D7" w:rsidP="00236442">
            <w:r>
              <w:t>Costs have continued to rise due to increased demand</w:t>
            </w:r>
            <w:r w:rsidR="00E4664C">
              <w:t xml:space="preserve"> and complex needs of some children</w:t>
            </w:r>
            <w:r>
              <w:t>.</w:t>
            </w:r>
          </w:p>
          <w:p w14:paraId="1A0E5EAF" w14:textId="77777777" w:rsidR="00236442" w:rsidRDefault="00236442" w:rsidP="00236442"/>
        </w:tc>
      </w:tr>
      <w:tr w:rsidR="00236442" w14:paraId="19B643BC" w14:textId="77777777" w:rsidTr="00E14CD3">
        <w:tc>
          <w:tcPr>
            <w:tcW w:w="9016" w:type="dxa"/>
            <w:gridSpan w:val="2"/>
            <w:shd w:val="pct30" w:color="auto" w:fill="auto"/>
          </w:tcPr>
          <w:p w14:paraId="757B63F2" w14:textId="77777777" w:rsidR="00236442" w:rsidRPr="00E14CD3" w:rsidRDefault="00236442" w:rsidP="00236442">
            <w:pPr>
              <w:rPr>
                <w:b/>
              </w:rPr>
            </w:pPr>
            <w:r>
              <w:rPr>
                <w:b/>
              </w:rPr>
              <w:t>QUARTER 4 (to 31/03/23)</w:t>
            </w:r>
          </w:p>
        </w:tc>
      </w:tr>
      <w:tr w:rsidR="00236442" w14:paraId="2E7AAE4A" w14:textId="77777777" w:rsidTr="00236442">
        <w:tc>
          <w:tcPr>
            <w:tcW w:w="7366" w:type="dxa"/>
          </w:tcPr>
          <w:p w14:paraId="005150DA" w14:textId="77777777" w:rsidR="00236442" w:rsidRDefault="00236442" w:rsidP="00236442">
            <w:r>
              <w:t>On Target ? (Yes = GREEN; Partial (e.g. milestones slipped) = AMBER, No = RED)</w:t>
            </w:r>
          </w:p>
        </w:tc>
        <w:tc>
          <w:tcPr>
            <w:tcW w:w="1650" w:type="dxa"/>
          </w:tcPr>
          <w:p w14:paraId="4A976E99" w14:textId="77777777" w:rsidR="00236442" w:rsidRDefault="00236442" w:rsidP="00236442"/>
        </w:tc>
      </w:tr>
      <w:tr w:rsidR="00236442" w14:paraId="60385BED" w14:textId="77777777" w:rsidTr="00E14CD3">
        <w:tc>
          <w:tcPr>
            <w:tcW w:w="9016" w:type="dxa"/>
            <w:gridSpan w:val="2"/>
          </w:tcPr>
          <w:p w14:paraId="337D126B" w14:textId="77777777" w:rsidR="00236442" w:rsidRDefault="00236442" w:rsidP="00236442">
            <w:r>
              <w:t>Provide narrative below</w:t>
            </w:r>
          </w:p>
        </w:tc>
      </w:tr>
      <w:tr w:rsidR="00236442" w14:paraId="0B715DD0" w14:textId="77777777" w:rsidTr="00E14CD3">
        <w:tc>
          <w:tcPr>
            <w:tcW w:w="9016" w:type="dxa"/>
            <w:gridSpan w:val="2"/>
          </w:tcPr>
          <w:p w14:paraId="6D2B70C1" w14:textId="77777777" w:rsidR="00236442" w:rsidRDefault="00236442" w:rsidP="00236442"/>
          <w:p w14:paraId="36919E44" w14:textId="77777777" w:rsidR="00236442" w:rsidRDefault="00236442" w:rsidP="00236442"/>
        </w:tc>
      </w:tr>
    </w:tbl>
    <w:p w14:paraId="1728B681" w14:textId="77777777" w:rsidR="001C7161" w:rsidRDefault="001C7161" w:rsidP="001C7161"/>
    <w:p w14:paraId="0FEE2059" w14:textId="77777777" w:rsidR="001C7161" w:rsidRDefault="001C7161" w:rsidP="001C7161"/>
    <w:p w14:paraId="3D5BB3A0" w14:textId="77777777" w:rsidR="001C7161" w:rsidRDefault="001C7161" w:rsidP="001C7161"/>
    <w:p w14:paraId="0206CAEF" w14:textId="77777777"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A0905" w14:textId="77777777" w:rsidR="0068031E" w:rsidRDefault="0068031E" w:rsidP="00C8075A">
      <w:pPr>
        <w:spacing w:after="0" w:line="240" w:lineRule="auto"/>
      </w:pPr>
      <w:r>
        <w:separator/>
      </w:r>
    </w:p>
  </w:endnote>
  <w:endnote w:type="continuationSeparator" w:id="0">
    <w:p w14:paraId="71A937D7" w14:textId="77777777" w:rsidR="0068031E" w:rsidRDefault="0068031E"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5DD03" w14:textId="77777777" w:rsidR="0068031E" w:rsidRDefault="0068031E" w:rsidP="00C8075A">
      <w:pPr>
        <w:spacing w:after="0" w:line="240" w:lineRule="auto"/>
      </w:pPr>
      <w:r>
        <w:separator/>
      </w:r>
    </w:p>
  </w:footnote>
  <w:footnote w:type="continuationSeparator" w:id="0">
    <w:p w14:paraId="2334A7B9" w14:textId="77777777" w:rsidR="0068031E" w:rsidRDefault="0068031E"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94B1" w14:textId="77777777"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13B"/>
    <w:multiLevelType w:val="hybridMultilevel"/>
    <w:tmpl w:val="6418432C"/>
    <w:lvl w:ilvl="0" w:tplc="43D6E7A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B077B"/>
    <w:multiLevelType w:val="multilevel"/>
    <w:tmpl w:val="8FAA1652"/>
    <w:lvl w:ilvl="0">
      <w:start w:val="3"/>
      <w:numFmt w:val="decimal"/>
      <w:lvlText w:val="%1"/>
      <w:lvlJc w:val="left"/>
      <w:pPr>
        <w:ind w:left="360" w:hanging="360"/>
      </w:pPr>
      <w:rPr>
        <w:rFonts w:hint="default"/>
      </w:rPr>
    </w:lvl>
    <w:lvl w:ilvl="1">
      <w:start w:val="1"/>
      <w:numFmt w:val="decimal"/>
      <w:lvlText w:val="%1.%2"/>
      <w:lvlJc w:val="left"/>
      <w:pPr>
        <w:ind w:left="1647" w:hanging="360"/>
      </w:pPr>
      <w:rPr>
        <w:rFonts w:ascii="Arial" w:hAnsi="Arial" w:cs="Arial" w:hint="default"/>
        <w:color w:val="auto"/>
        <w:sz w:val="24"/>
        <w:szCs w:val="24"/>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3"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01EB6"/>
    <w:multiLevelType w:val="hybridMultilevel"/>
    <w:tmpl w:val="AD4E2202"/>
    <w:lvl w:ilvl="0" w:tplc="0D94570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B2FFD"/>
    <w:multiLevelType w:val="multilevel"/>
    <w:tmpl w:val="D1BCC3BC"/>
    <w:lvl w:ilvl="0">
      <w:start w:val="1"/>
      <w:numFmt w:val="decimal"/>
      <w:pStyle w:val="NumberedParagraph"/>
      <w:lvlText w:val="%1."/>
      <w:lvlJc w:val="left"/>
      <w:pPr>
        <w:ind w:left="1854" w:hanging="567"/>
      </w:pPr>
      <w:rPr>
        <w:rFonts w:hint="default"/>
        <w:b/>
        <w:i w:val="0"/>
      </w:rPr>
    </w:lvl>
    <w:lvl w:ilvl="1">
      <w:start w:val="1"/>
      <w:numFmt w:val="lowerRoman"/>
      <w:lvlText w:val="(%2)"/>
      <w:lvlJc w:val="left"/>
      <w:pPr>
        <w:ind w:left="2364" w:hanging="567"/>
      </w:pPr>
      <w:rPr>
        <w:rFonts w:hint="default"/>
        <w:b w:val="0"/>
        <w:i w:val="0"/>
      </w:rPr>
    </w:lvl>
    <w:lvl w:ilvl="2">
      <w:start w:val="1"/>
      <w:numFmt w:val="bullet"/>
      <w:lvlText w:val=""/>
      <w:lvlJc w:val="left"/>
      <w:pPr>
        <w:ind w:left="2874" w:hanging="567"/>
      </w:pPr>
      <w:rPr>
        <w:rFonts w:ascii="Symbol" w:hAnsi="Symbol" w:hint="default"/>
      </w:rPr>
    </w:lvl>
    <w:lvl w:ilvl="3">
      <w:start w:val="1"/>
      <w:numFmt w:val="bullet"/>
      <w:lvlText w:val=""/>
      <w:lvlJc w:val="left"/>
      <w:pPr>
        <w:ind w:left="3384" w:hanging="567"/>
      </w:pPr>
      <w:rPr>
        <w:rFonts w:ascii="Symbol" w:hAnsi="Symbol" w:hint="default"/>
      </w:rPr>
    </w:lvl>
    <w:lvl w:ilvl="4">
      <w:start w:val="1"/>
      <w:numFmt w:val="lowerLetter"/>
      <w:lvlText w:val="%5."/>
      <w:lvlJc w:val="left"/>
      <w:pPr>
        <w:ind w:left="3894" w:hanging="567"/>
      </w:pPr>
      <w:rPr>
        <w:rFonts w:hint="default"/>
      </w:rPr>
    </w:lvl>
    <w:lvl w:ilvl="5">
      <w:start w:val="1"/>
      <w:numFmt w:val="lowerRoman"/>
      <w:lvlText w:val="%6."/>
      <w:lvlJc w:val="right"/>
      <w:pPr>
        <w:ind w:left="4404" w:hanging="567"/>
      </w:pPr>
      <w:rPr>
        <w:rFonts w:hint="default"/>
      </w:rPr>
    </w:lvl>
    <w:lvl w:ilvl="6">
      <w:start w:val="1"/>
      <w:numFmt w:val="decimal"/>
      <w:lvlText w:val="%7."/>
      <w:lvlJc w:val="left"/>
      <w:pPr>
        <w:ind w:left="4914" w:hanging="567"/>
      </w:pPr>
      <w:rPr>
        <w:rFonts w:hint="default"/>
      </w:rPr>
    </w:lvl>
    <w:lvl w:ilvl="7">
      <w:start w:val="1"/>
      <w:numFmt w:val="lowerLetter"/>
      <w:lvlText w:val="%8."/>
      <w:lvlJc w:val="left"/>
      <w:pPr>
        <w:ind w:left="5424" w:hanging="567"/>
      </w:pPr>
      <w:rPr>
        <w:rFonts w:hint="default"/>
      </w:rPr>
    </w:lvl>
    <w:lvl w:ilvl="8">
      <w:start w:val="1"/>
      <w:numFmt w:val="lowerRoman"/>
      <w:lvlText w:val="%9."/>
      <w:lvlJc w:val="right"/>
      <w:pPr>
        <w:ind w:left="5934" w:hanging="567"/>
      </w:pPr>
      <w:rPr>
        <w:rFonts w:hint="default"/>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0"/>
    <w:rsid w:val="00010C67"/>
    <w:rsid w:val="00032D7B"/>
    <w:rsid w:val="00034F26"/>
    <w:rsid w:val="00041423"/>
    <w:rsid w:val="00043D3A"/>
    <w:rsid w:val="00062F70"/>
    <w:rsid w:val="000C4A54"/>
    <w:rsid w:val="000D140F"/>
    <w:rsid w:val="000D72CC"/>
    <w:rsid w:val="00101A40"/>
    <w:rsid w:val="00103F30"/>
    <w:rsid w:val="00111D84"/>
    <w:rsid w:val="001127DB"/>
    <w:rsid w:val="0012558D"/>
    <w:rsid w:val="001304F9"/>
    <w:rsid w:val="00151F88"/>
    <w:rsid w:val="00152A29"/>
    <w:rsid w:val="001805B0"/>
    <w:rsid w:val="001913C5"/>
    <w:rsid w:val="001A3F78"/>
    <w:rsid w:val="001B078D"/>
    <w:rsid w:val="001B3EED"/>
    <w:rsid w:val="001C5D20"/>
    <w:rsid w:val="001C7161"/>
    <w:rsid w:val="001D3448"/>
    <w:rsid w:val="001E0243"/>
    <w:rsid w:val="00202326"/>
    <w:rsid w:val="00204C48"/>
    <w:rsid w:val="0022030B"/>
    <w:rsid w:val="0022135F"/>
    <w:rsid w:val="002313AA"/>
    <w:rsid w:val="00236442"/>
    <w:rsid w:val="0025369A"/>
    <w:rsid w:val="00254002"/>
    <w:rsid w:val="002550A6"/>
    <w:rsid w:val="002725D1"/>
    <w:rsid w:val="00273A63"/>
    <w:rsid w:val="00273B5D"/>
    <w:rsid w:val="00284AB8"/>
    <w:rsid w:val="002941D5"/>
    <w:rsid w:val="002949A8"/>
    <w:rsid w:val="002A26EE"/>
    <w:rsid w:val="002B3B85"/>
    <w:rsid w:val="002C4438"/>
    <w:rsid w:val="002D3357"/>
    <w:rsid w:val="002D398A"/>
    <w:rsid w:val="002E6195"/>
    <w:rsid w:val="00307081"/>
    <w:rsid w:val="003206E3"/>
    <w:rsid w:val="00354114"/>
    <w:rsid w:val="00362449"/>
    <w:rsid w:val="00363F15"/>
    <w:rsid w:val="0036713C"/>
    <w:rsid w:val="00375C1E"/>
    <w:rsid w:val="0037600F"/>
    <w:rsid w:val="0037773E"/>
    <w:rsid w:val="00377DD4"/>
    <w:rsid w:val="003909B7"/>
    <w:rsid w:val="00397172"/>
    <w:rsid w:val="003A37F8"/>
    <w:rsid w:val="003D3EF0"/>
    <w:rsid w:val="003F0D05"/>
    <w:rsid w:val="00400209"/>
    <w:rsid w:val="004054D7"/>
    <w:rsid w:val="00413A7A"/>
    <w:rsid w:val="00415083"/>
    <w:rsid w:val="004563F3"/>
    <w:rsid w:val="00461F70"/>
    <w:rsid w:val="00484474"/>
    <w:rsid w:val="00486605"/>
    <w:rsid w:val="00493F88"/>
    <w:rsid w:val="004B0F57"/>
    <w:rsid w:val="004B4D8E"/>
    <w:rsid w:val="004C36B2"/>
    <w:rsid w:val="004E4824"/>
    <w:rsid w:val="0051768E"/>
    <w:rsid w:val="0052624E"/>
    <w:rsid w:val="00527FC7"/>
    <w:rsid w:val="00530E4E"/>
    <w:rsid w:val="00532AB5"/>
    <w:rsid w:val="00567F40"/>
    <w:rsid w:val="0057662D"/>
    <w:rsid w:val="00582951"/>
    <w:rsid w:val="00585DD2"/>
    <w:rsid w:val="00590324"/>
    <w:rsid w:val="005B2583"/>
    <w:rsid w:val="005B4FB3"/>
    <w:rsid w:val="005C1CFC"/>
    <w:rsid w:val="005D166E"/>
    <w:rsid w:val="005D31C7"/>
    <w:rsid w:val="005D4129"/>
    <w:rsid w:val="005D70F2"/>
    <w:rsid w:val="005E3414"/>
    <w:rsid w:val="00600B96"/>
    <w:rsid w:val="00615B34"/>
    <w:rsid w:val="00622DEC"/>
    <w:rsid w:val="0063084C"/>
    <w:rsid w:val="00630DF2"/>
    <w:rsid w:val="00665BF0"/>
    <w:rsid w:val="0068031E"/>
    <w:rsid w:val="00681EDB"/>
    <w:rsid w:val="006B4021"/>
    <w:rsid w:val="006F0783"/>
    <w:rsid w:val="006F1CDE"/>
    <w:rsid w:val="006F32AB"/>
    <w:rsid w:val="00701956"/>
    <w:rsid w:val="00703254"/>
    <w:rsid w:val="0070759F"/>
    <w:rsid w:val="00707D05"/>
    <w:rsid w:val="00711B3F"/>
    <w:rsid w:val="00713728"/>
    <w:rsid w:val="00714D2B"/>
    <w:rsid w:val="00716991"/>
    <w:rsid w:val="00723805"/>
    <w:rsid w:val="00731447"/>
    <w:rsid w:val="00733F0F"/>
    <w:rsid w:val="007550ED"/>
    <w:rsid w:val="00755C20"/>
    <w:rsid w:val="00756853"/>
    <w:rsid w:val="007737AC"/>
    <w:rsid w:val="007741E8"/>
    <w:rsid w:val="00782B52"/>
    <w:rsid w:val="0079117D"/>
    <w:rsid w:val="007A17E7"/>
    <w:rsid w:val="007B1916"/>
    <w:rsid w:val="007C6772"/>
    <w:rsid w:val="007D7D31"/>
    <w:rsid w:val="007F3E49"/>
    <w:rsid w:val="00813604"/>
    <w:rsid w:val="00815911"/>
    <w:rsid w:val="00836752"/>
    <w:rsid w:val="0085338A"/>
    <w:rsid w:val="00864DD1"/>
    <w:rsid w:val="00881FF3"/>
    <w:rsid w:val="00892388"/>
    <w:rsid w:val="008B7939"/>
    <w:rsid w:val="008E0849"/>
    <w:rsid w:val="008E4FEF"/>
    <w:rsid w:val="0091177F"/>
    <w:rsid w:val="00912D5D"/>
    <w:rsid w:val="009142D5"/>
    <w:rsid w:val="00922EB5"/>
    <w:rsid w:val="00927DAB"/>
    <w:rsid w:val="00934A9D"/>
    <w:rsid w:val="00961F80"/>
    <w:rsid w:val="00976486"/>
    <w:rsid w:val="00977111"/>
    <w:rsid w:val="00984C56"/>
    <w:rsid w:val="00986A8B"/>
    <w:rsid w:val="0099422E"/>
    <w:rsid w:val="009A014D"/>
    <w:rsid w:val="009A1C20"/>
    <w:rsid w:val="009B234A"/>
    <w:rsid w:val="009B2479"/>
    <w:rsid w:val="009B64B4"/>
    <w:rsid w:val="009C3BBE"/>
    <w:rsid w:val="009C4A49"/>
    <w:rsid w:val="009C6FD0"/>
    <w:rsid w:val="009E2F53"/>
    <w:rsid w:val="009F3C23"/>
    <w:rsid w:val="00A2383B"/>
    <w:rsid w:val="00A36498"/>
    <w:rsid w:val="00A3680F"/>
    <w:rsid w:val="00A703BE"/>
    <w:rsid w:val="00A75B63"/>
    <w:rsid w:val="00AB78A4"/>
    <w:rsid w:val="00AC0593"/>
    <w:rsid w:val="00AD09A7"/>
    <w:rsid w:val="00AD0FCC"/>
    <w:rsid w:val="00AD7C25"/>
    <w:rsid w:val="00AE05F2"/>
    <w:rsid w:val="00AF0068"/>
    <w:rsid w:val="00B03D4A"/>
    <w:rsid w:val="00B042E5"/>
    <w:rsid w:val="00B11455"/>
    <w:rsid w:val="00B15DFD"/>
    <w:rsid w:val="00B32C39"/>
    <w:rsid w:val="00B43AB3"/>
    <w:rsid w:val="00B47668"/>
    <w:rsid w:val="00B6586A"/>
    <w:rsid w:val="00B742C6"/>
    <w:rsid w:val="00B80635"/>
    <w:rsid w:val="00B931CB"/>
    <w:rsid w:val="00B93E5B"/>
    <w:rsid w:val="00BA1B84"/>
    <w:rsid w:val="00BC5910"/>
    <w:rsid w:val="00BE57AB"/>
    <w:rsid w:val="00C0201D"/>
    <w:rsid w:val="00C07A96"/>
    <w:rsid w:val="00C1391C"/>
    <w:rsid w:val="00C16F10"/>
    <w:rsid w:val="00C33AB5"/>
    <w:rsid w:val="00C34DB2"/>
    <w:rsid w:val="00C4344B"/>
    <w:rsid w:val="00C43E4C"/>
    <w:rsid w:val="00C55DC6"/>
    <w:rsid w:val="00C5744E"/>
    <w:rsid w:val="00C70A3A"/>
    <w:rsid w:val="00C70FF4"/>
    <w:rsid w:val="00C8075A"/>
    <w:rsid w:val="00C83D5E"/>
    <w:rsid w:val="00C84C91"/>
    <w:rsid w:val="00CD1D51"/>
    <w:rsid w:val="00CE7167"/>
    <w:rsid w:val="00CF02F5"/>
    <w:rsid w:val="00CF1E61"/>
    <w:rsid w:val="00D121BF"/>
    <w:rsid w:val="00D1222F"/>
    <w:rsid w:val="00D172E0"/>
    <w:rsid w:val="00D17CF3"/>
    <w:rsid w:val="00D27456"/>
    <w:rsid w:val="00D332F3"/>
    <w:rsid w:val="00D73376"/>
    <w:rsid w:val="00D87366"/>
    <w:rsid w:val="00D906FC"/>
    <w:rsid w:val="00D912E4"/>
    <w:rsid w:val="00DA2C44"/>
    <w:rsid w:val="00DC04C5"/>
    <w:rsid w:val="00DD6CF9"/>
    <w:rsid w:val="00DE56EC"/>
    <w:rsid w:val="00E14CD3"/>
    <w:rsid w:val="00E4664C"/>
    <w:rsid w:val="00E82548"/>
    <w:rsid w:val="00EA225F"/>
    <w:rsid w:val="00EA68FC"/>
    <w:rsid w:val="00EC7EBD"/>
    <w:rsid w:val="00ED4EA8"/>
    <w:rsid w:val="00ED60EA"/>
    <w:rsid w:val="00EE1DF9"/>
    <w:rsid w:val="00EE750E"/>
    <w:rsid w:val="00F13242"/>
    <w:rsid w:val="00F21D47"/>
    <w:rsid w:val="00F30F79"/>
    <w:rsid w:val="00F32B3C"/>
    <w:rsid w:val="00F36050"/>
    <w:rsid w:val="00F540B6"/>
    <w:rsid w:val="00F617C7"/>
    <w:rsid w:val="00F7068D"/>
    <w:rsid w:val="00F72346"/>
    <w:rsid w:val="00F73FD0"/>
    <w:rsid w:val="00F77F69"/>
    <w:rsid w:val="00F8726D"/>
    <w:rsid w:val="00F90BBB"/>
    <w:rsid w:val="00F93774"/>
    <w:rsid w:val="00FC188E"/>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0B7A"/>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 w:type="paragraph" w:customStyle="1" w:styleId="NumberedParagraph">
    <w:name w:val="Numbered Paragraph"/>
    <w:basedOn w:val="ListParagraph"/>
    <w:link w:val="NumberedParagraphChar"/>
    <w:qFormat/>
    <w:rsid w:val="00A703BE"/>
    <w:pPr>
      <w:numPr>
        <w:numId w:val="5"/>
      </w:numPr>
      <w:overflowPunct w:val="0"/>
      <w:autoSpaceDE w:val="0"/>
      <w:autoSpaceDN w:val="0"/>
      <w:adjustRightInd w:val="0"/>
      <w:spacing w:after="240" w:line="240" w:lineRule="auto"/>
      <w:contextualSpacing w:val="0"/>
      <w:textAlignment w:val="baseline"/>
    </w:pPr>
    <w:rPr>
      <w:rFonts w:ascii="Arial" w:eastAsia="Times New Roman" w:hAnsi="Arial"/>
      <w:sz w:val="24"/>
      <w:szCs w:val="20"/>
    </w:rPr>
  </w:style>
  <w:style w:type="character" w:customStyle="1" w:styleId="NumberedParagraphChar">
    <w:name w:val="Numbered Paragraph Char"/>
    <w:basedOn w:val="DefaultParagraphFont"/>
    <w:link w:val="NumberedParagraph"/>
    <w:rsid w:val="00A703B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Wagstaff, Paul</cp:lastModifiedBy>
  <cp:revision>2</cp:revision>
  <cp:lastPrinted>2023-07-31T15:23:00Z</cp:lastPrinted>
  <dcterms:created xsi:type="dcterms:W3CDTF">2024-02-06T09:58:00Z</dcterms:created>
  <dcterms:modified xsi:type="dcterms:W3CDTF">2024-02-06T09:58:00Z</dcterms:modified>
</cp:coreProperties>
</file>