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A2497" w:rsidR="00451566" w:rsidP="00843326" w:rsidRDefault="00BF72E0" w14:paraId="6C2F11DB" w14:textId="4B03FEB0">
      <w:pPr>
        <w:jc w:val="center"/>
        <w:rPr>
          <w:rFonts w:ascii="Arial" w:hAnsi="Arial" w:cs="Arial"/>
          <w:b w:val="1"/>
          <w:bCs w:val="1"/>
          <w:sz w:val="24"/>
          <w:szCs w:val="24"/>
        </w:rPr>
      </w:pPr>
      <w:r w:rsidRPr="7C5218E2" w:rsidR="00BF72E0">
        <w:rPr>
          <w:rFonts w:ascii="Arial" w:hAnsi="Arial" w:cs="Arial"/>
          <w:b w:val="1"/>
          <w:bCs w:val="1"/>
          <w:sz w:val="24"/>
          <w:szCs w:val="24"/>
        </w:rPr>
        <w:t>Business Case Lite</w:t>
      </w:r>
      <w:r w:rsidRPr="7C5218E2" w:rsidR="00434F3A">
        <w:rPr>
          <w:rFonts w:ascii="Arial" w:hAnsi="Arial" w:cs="Arial"/>
          <w:b w:val="1"/>
          <w:bCs w:val="1"/>
          <w:sz w:val="24"/>
          <w:szCs w:val="24"/>
        </w:rPr>
        <w:t xml:space="preserve"> </w:t>
      </w:r>
      <w:r w:rsidRPr="7C5218E2" w:rsidR="007C6A50">
        <w:rPr>
          <w:rFonts w:ascii="Arial" w:hAnsi="Arial" w:cs="Arial"/>
          <w:b w:val="1"/>
          <w:bCs w:val="1"/>
          <w:sz w:val="24"/>
          <w:szCs w:val="24"/>
        </w:rPr>
        <w:t>–</w:t>
      </w:r>
      <w:r w:rsidRPr="7C5218E2" w:rsidR="00434F3A">
        <w:rPr>
          <w:rFonts w:ascii="Arial" w:hAnsi="Arial" w:cs="Arial"/>
          <w:b w:val="1"/>
          <w:bCs w:val="1"/>
          <w:sz w:val="24"/>
          <w:szCs w:val="24"/>
        </w:rPr>
        <w:t xml:space="preserve"> </w:t>
      </w:r>
      <w:r w:rsidRPr="7C5218E2" w:rsidR="007C6A50">
        <w:rPr>
          <w:rFonts w:ascii="Arial" w:hAnsi="Arial" w:cs="Arial"/>
          <w:b w:val="1"/>
          <w:bCs w:val="1"/>
          <w:sz w:val="24"/>
          <w:szCs w:val="24"/>
        </w:rPr>
        <w:t>Luton Transformation Programme</w:t>
      </w:r>
    </w:p>
    <w:p w:rsidRPr="005A2497" w:rsidR="00843326" w:rsidP="00843326" w:rsidRDefault="00843326" w14:paraId="294429C8" w14:textId="77777777">
      <w:pPr>
        <w:pStyle w:val="NoSpacing"/>
        <w:rPr>
          <w:rFonts w:ascii="Arial" w:hAnsi="Arial" w:cs="Arial"/>
          <w:sz w:val="20"/>
          <w:szCs w:val="20"/>
        </w:rPr>
      </w:pPr>
    </w:p>
    <w:p w:rsidRPr="00035CB3" w:rsidR="00451566" w:rsidP="00035CB3" w:rsidRDefault="00451566" w14:paraId="23BE79F9" w14:textId="6988341D">
      <w:pPr>
        <w:pStyle w:val="NoSpacing"/>
        <w:shd w:val="clear" w:color="auto" w:fill="7030A0"/>
        <w:rPr>
          <w:rFonts w:ascii="Arial" w:hAnsi="Arial" w:cs="Arial"/>
          <w:b/>
          <w:bCs/>
          <w:color w:val="FFFFFF" w:themeColor="background1"/>
          <w:sz w:val="20"/>
          <w:szCs w:val="20"/>
        </w:rPr>
      </w:pPr>
      <w:r w:rsidRPr="00035CB3">
        <w:rPr>
          <w:rFonts w:ascii="Arial" w:hAnsi="Arial" w:cs="Arial"/>
          <w:b/>
          <w:bCs/>
          <w:color w:val="FFFFFF" w:themeColor="background1"/>
          <w:sz w:val="20"/>
          <w:szCs w:val="20"/>
        </w:rPr>
        <w:t>Project Information</w:t>
      </w:r>
    </w:p>
    <w:tbl>
      <w:tblPr>
        <w:tblStyle w:val="TableGrid"/>
        <w:tblW w:w="9067" w:type="dxa"/>
        <w:tblLook w:val="04A0" w:firstRow="1" w:lastRow="0" w:firstColumn="1" w:lastColumn="0" w:noHBand="0" w:noVBand="1"/>
      </w:tblPr>
      <w:tblGrid>
        <w:gridCol w:w="2692"/>
        <w:gridCol w:w="6375"/>
      </w:tblGrid>
      <w:tr w:rsidRPr="005A2497" w:rsidR="00451566" w:rsidTr="35CCF489" w14:paraId="224FDB06" w14:textId="77777777">
        <w:tc>
          <w:tcPr>
            <w:tcW w:w="2692" w:type="dxa"/>
            <w:shd w:val="clear" w:color="auto" w:fill="66B0AB"/>
          </w:tcPr>
          <w:p w:rsidRPr="005A2497" w:rsidR="00451566" w:rsidP="00843326" w:rsidRDefault="00451566" w14:paraId="5D5A0DD6" w14:textId="0696E778">
            <w:pPr>
              <w:pStyle w:val="NoSpacing"/>
              <w:rPr>
                <w:rFonts w:ascii="Arial" w:hAnsi="Arial" w:cs="Arial"/>
                <w:b/>
                <w:bCs/>
                <w:sz w:val="20"/>
                <w:szCs w:val="20"/>
              </w:rPr>
            </w:pPr>
            <w:r w:rsidRPr="005A2497">
              <w:rPr>
                <w:rFonts w:ascii="Arial" w:hAnsi="Arial" w:cs="Arial"/>
                <w:b/>
                <w:bCs/>
                <w:sz w:val="20"/>
                <w:szCs w:val="20"/>
              </w:rPr>
              <w:t>Project Title</w:t>
            </w:r>
          </w:p>
        </w:tc>
        <w:tc>
          <w:tcPr>
            <w:tcW w:w="6375" w:type="dxa"/>
          </w:tcPr>
          <w:p w:rsidRPr="005A2497" w:rsidR="00451566" w:rsidP="44DEDA91" w:rsidRDefault="59D920ED" w14:paraId="62D1B66A" w14:textId="5E7DF213">
            <w:pPr>
              <w:pStyle w:val="NoSpacing"/>
              <w:rPr>
                <w:rFonts w:ascii="Arial" w:hAnsi="Arial" w:cs="Arial"/>
                <w:sz w:val="20"/>
                <w:szCs w:val="20"/>
              </w:rPr>
            </w:pPr>
            <w:r w:rsidRPr="44DEDA91">
              <w:rPr>
                <w:rFonts w:ascii="Arial" w:hAnsi="Arial" w:cs="Arial"/>
                <w:sz w:val="20"/>
                <w:szCs w:val="20"/>
              </w:rPr>
              <w:t>Contract</w:t>
            </w:r>
            <w:r w:rsidRPr="44DEDA91" w:rsidR="5C037F71">
              <w:rPr>
                <w:rFonts w:ascii="Arial" w:hAnsi="Arial" w:cs="Arial"/>
                <w:sz w:val="20"/>
                <w:szCs w:val="20"/>
              </w:rPr>
              <w:t xml:space="preserve">s and </w:t>
            </w:r>
            <w:proofErr w:type="gramStart"/>
            <w:r w:rsidRPr="44DEDA91" w:rsidR="5C037F71">
              <w:rPr>
                <w:rFonts w:ascii="Arial" w:hAnsi="Arial" w:cs="Arial"/>
                <w:sz w:val="20"/>
                <w:szCs w:val="20"/>
              </w:rPr>
              <w:t>Spend</w:t>
            </w:r>
            <w:proofErr w:type="gramEnd"/>
          </w:p>
        </w:tc>
      </w:tr>
      <w:tr w:rsidRPr="005A2497" w:rsidR="00434F3A" w:rsidTr="35CCF489" w14:paraId="106CB3D8" w14:textId="77777777">
        <w:tc>
          <w:tcPr>
            <w:tcW w:w="2692" w:type="dxa"/>
            <w:shd w:val="clear" w:color="auto" w:fill="66B0AB"/>
          </w:tcPr>
          <w:p w:rsidRPr="005A2497" w:rsidR="00434F3A" w:rsidP="00843326" w:rsidRDefault="00F140C7" w14:paraId="0CB25EB0" w14:textId="171B7B1A">
            <w:pPr>
              <w:pStyle w:val="NoSpacing"/>
              <w:rPr>
                <w:rFonts w:ascii="Arial" w:hAnsi="Arial" w:cs="Arial"/>
                <w:b/>
                <w:bCs/>
                <w:sz w:val="20"/>
                <w:szCs w:val="20"/>
              </w:rPr>
            </w:pPr>
            <w:r w:rsidRPr="005A2497">
              <w:rPr>
                <w:rFonts w:ascii="Arial" w:hAnsi="Arial" w:cs="Arial"/>
                <w:b/>
                <w:bCs/>
                <w:sz w:val="20"/>
                <w:szCs w:val="20"/>
              </w:rPr>
              <w:t>Portfolio</w:t>
            </w:r>
            <w:r w:rsidRPr="005A2497" w:rsidR="00434F3A">
              <w:rPr>
                <w:rFonts w:ascii="Arial" w:hAnsi="Arial" w:cs="Arial"/>
                <w:b/>
                <w:bCs/>
                <w:sz w:val="20"/>
                <w:szCs w:val="20"/>
              </w:rPr>
              <w:t xml:space="preserve"> Tracker ref</w:t>
            </w:r>
          </w:p>
        </w:tc>
        <w:tc>
          <w:tcPr>
            <w:tcW w:w="6375" w:type="dxa"/>
          </w:tcPr>
          <w:p w:rsidRPr="005A2497" w:rsidR="00434F3A" w:rsidP="6CB24715" w:rsidRDefault="3909623F" w14:paraId="31E745C7" w14:textId="44CF715B">
            <w:pPr>
              <w:pStyle w:val="NoSpacing"/>
              <w:rPr>
                <w:rFonts w:ascii="Arial" w:hAnsi="Arial" w:cs="Arial"/>
                <w:sz w:val="20"/>
                <w:szCs w:val="20"/>
              </w:rPr>
            </w:pPr>
            <w:r w:rsidRPr="6CB24715">
              <w:rPr>
                <w:rFonts w:ascii="Arial" w:hAnsi="Arial" w:cs="Arial"/>
                <w:sz w:val="20"/>
                <w:szCs w:val="20"/>
              </w:rPr>
              <w:t>Com-001</w:t>
            </w:r>
          </w:p>
        </w:tc>
      </w:tr>
      <w:tr w:rsidRPr="005A2497" w:rsidR="00C10771" w:rsidTr="35CCF489" w14:paraId="144BCE2F" w14:textId="77777777">
        <w:tc>
          <w:tcPr>
            <w:tcW w:w="2692" w:type="dxa"/>
            <w:shd w:val="clear" w:color="auto" w:fill="66B0AB"/>
          </w:tcPr>
          <w:p w:rsidRPr="005A2497" w:rsidR="00C10771" w:rsidP="00843326" w:rsidRDefault="00C10771" w14:paraId="3C27D0DC" w14:textId="5541D90D">
            <w:pPr>
              <w:pStyle w:val="NoSpacing"/>
              <w:rPr>
                <w:rFonts w:ascii="Arial" w:hAnsi="Arial" w:cs="Arial"/>
                <w:b/>
                <w:bCs/>
                <w:sz w:val="20"/>
                <w:szCs w:val="20"/>
              </w:rPr>
            </w:pPr>
            <w:r w:rsidRPr="005A2497">
              <w:rPr>
                <w:rFonts w:ascii="Arial" w:hAnsi="Arial" w:cs="Arial"/>
                <w:b/>
                <w:bCs/>
                <w:sz w:val="20"/>
                <w:szCs w:val="20"/>
              </w:rPr>
              <w:t>Current Stage</w:t>
            </w:r>
            <w:r w:rsidRPr="005A2497" w:rsidR="00BE2546">
              <w:rPr>
                <w:rFonts w:ascii="Arial" w:hAnsi="Arial" w:cs="Arial"/>
                <w:b/>
                <w:bCs/>
                <w:sz w:val="20"/>
                <w:szCs w:val="20"/>
              </w:rPr>
              <w:t xml:space="preserve"> / Gate:</w:t>
            </w:r>
          </w:p>
        </w:tc>
        <w:tc>
          <w:tcPr>
            <w:tcW w:w="6375" w:type="dxa"/>
          </w:tcPr>
          <w:p w:rsidRPr="005A2497" w:rsidR="00C10771" w:rsidP="6CE76D7F" w:rsidRDefault="20DBF57E" w14:paraId="5E844B5B" w14:textId="01416F33">
            <w:pPr>
              <w:pStyle w:val="NoSpacing"/>
              <w:rPr>
                <w:rFonts w:ascii="Arial" w:hAnsi="Arial" w:cs="Arial"/>
                <w:sz w:val="20"/>
                <w:szCs w:val="20"/>
              </w:rPr>
            </w:pPr>
            <w:r w:rsidRPr="1C8BC47B">
              <w:rPr>
                <w:rFonts w:ascii="Arial" w:hAnsi="Arial" w:cs="Arial"/>
                <w:sz w:val="20"/>
                <w:szCs w:val="20"/>
              </w:rPr>
              <w:t xml:space="preserve">Stage 0: Opportunity Identified </w:t>
            </w:r>
          </w:p>
        </w:tc>
      </w:tr>
      <w:tr w:rsidRPr="005A2497" w:rsidR="00E11B80" w:rsidTr="35CCF489" w14:paraId="1D980CBC" w14:textId="77777777">
        <w:tc>
          <w:tcPr>
            <w:tcW w:w="2692" w:type="dxa"/>
            <w:shd w:val="clear" w:color="auto" w:fill="66B0AB"/>
          </w:tcPr>
          <w:p w:rsidRPr="005A2497" w:rsidR="00E11B80" w:rsidP="00843326" w:rsidRDefault="00E11B80" w14:paraId="4FACB26B" w14:textId="5E69CA60">
            <w:pPr>
              <w:pStyle w:val="NoSpacing"/>
              <w:rPr>
                <w:rFonts w:ascii="Arial" w:hAnsi="Arial" w:cs="Arial"/>
                <w:b/>
                <w:bCs/>
                <w:sz w:val="20"/>
                <w:szCs w:val="20"/>
              </w:rPr>
            </w:pPr>
            <w:r w:rsidRPr="005A2497">
              <w:rPr>
                <w:rFonts w:ascii="Arial" w:hAnsi="Arial" w:cs="Arial"/>
                <w:b/>
                <w:bCs/>
                <w:sz w:val="20"/>
                <w:szCs w:val="20"/>
              </w:rPr>
              <w:t>Project Sponsor</w:t>
            </w:r>
          </w:p>
        </w:tc>
        <w:tc>
          <w:tcPr>
            <w:tcW w:w="6375" w:type="dxa"/>
          </w:tcPr>
          <w:p w:rsidRPr="005A2497" w:rsidR="00E11B80" w:rsidP="35CCF489" w:rsidRDefault="245767F7" w14:paraId="2F45A357" w14:textId="2C7B74D2">
            <w:pPr>
              <w:pStyle w:val="NoSpacing"/>
              <w:rPr>
                <w:rFonts w:ascii="Arial" w:hAnsi="Arial" w:cs="Arial"/>
                <w:sz w:val="20"/>
                <w:szCs w:val="20"/>
              </w:rPr>
            </w:pPr>
            <w:r w:rsidRPr="35CCF489">
              <w:rPr>
                <w:rFonts w:ascii="Arial" w:hAnsi="Arial" w:cs="Arial"/>
                <w:sz w:val="20"/>
                <w:szCs w:val="20"/>
              </w:rPr>
              <w:t>Mark Fowler</w:t>
            </w:r>
          </w:p>
        </w:tc>
      </w:tr>
      <w:tr w:rsidRPr="005A2497" w:rsidR="00103135" w:rsidTr="35CCF489" w14:paraId="2FBAB93E" w14:textId="77777777">
        <w:tc>
          <w:tcPr>
            <w:tcW w:w="2692" w:type="dxa"/>
            <w:shd w:val="clear" w:color="auto" w:fill="66B0AB"/>
          </w:tcPr>
          <w:p w:rsidRPr="005A2497" w:rsidR="00103135" w:rsidP="00843326" w:rsidRDefault="00103135" w14:paraId="5EDAC4E4" w14:textId="21DBE53B">
            <w:pPr>
              <w:pStyle w:val="NoSpacing"/>
              <w:rPr>
                <w:rFonts w:ascii="Arial" w:hAnsi="Arial" w:cs="Arial"/>
                <w:b/>
                <w:bCs/>
                <w:sz w:val="20"/>
                <w:szCs w:val="20"/>
              </w:rPr>
            </w:pPr>
            <w:r w:rsidRPr="005A2497">
              <w:rPr>
                <w:rFonts w:ascii="Arial" w:hAnsi="Arial" w:cs="Arial"/>
                <w:b/>
                <w:bCs/>
                <w:sz w:val="20"/>
                <w:szCs w:val="20"/>
              </w:rPr>
              <w:t xml:space="preserve">Project </w:t>
            </w:r>
            <w:r w:rsidRPr="005A2497" w:rsidR="007B43EF">
              <w:rPr>
                <w:rFonts w:ascii="Arial" w:hAnsi="Arial" w:cs="Arial"/>
                <w:b/>
                <w:bCs/>
                <w:sz w:val="20"/>
                <w:szCs w:val="20"/>
              </w:rPr>
              <w:t>Lead</w:t>
            </w:r>
          </w:p>
        </w:tc>
        <w:tc>
          <w:tcPr>
            <w:tcW w:w="6375" w:type="dxa"/>
          </w:tcPr>
          <w:p w:rsidRPr="005A2497" w:rsidR="00103135" w:rsidP="35CCF489" w:rsidRDefault="6203F404" w14:paraId="09C04243" w14:textId="354E9F4A">
            <w:pPr>
              <w:pStyle w:val="NoSpacing"/>
              <w:rPr>
                <w:rFonts w:ascii="Arial" w:hAnsi="Arial" w:cs="Arial"/>
                <w:sz w:val="20"/>
                <w:szCs w:val="20"/>
              </w:rPr>
            </w:pPr>
            <w:r w:rsidRPr="35CCF489">
              <w:rPr>
                <w:rFonts w:ascii="Arial" w:hAnsi="Arial" w:cs="Arial"/>
                <w:sz w:val="20"/>
                <w:szCs w:val="20"/>
              </w:rPr>
              <w:t>Catharine Southern</w:t>
            </w:r>
          </w:p>
        </w:tc>
      </w:tr>
      <w:tr w:rsidRPr="005A2497" w:rsidR="00160958" w:rsidTr="35CCF489" w14:paraId="4421895B" w14:textId="77777777">
        <w:tc>
          <w:tcPr>
            <w:tcW w:w="2692" w:type="dxa"/>
            <w:shd w:val="clear" w:color="auto" w:fill="66B0AB"/>
          </w:tcPr>
          <w:p w:rsidRPr="005A2497" w:rsidR="00160958" w:rsidP="00843326" w:rsidRDefault="00160958" w14:paraId="206990A1" w14:textId="1B85B8F1">
            <w:pPr>
              <w:pStyle w:val="NoSpacing"/>
              <w:rPr>
                <w:rFonts w:ascii="Arial" w:hAnsi="Arial" w:cs="Arial"/>
                <w:b/>
                <w:bCs/>
                <w:sz w:val="20"/>
                <w:szCs w:val="20"/>
              </w:rPr>
            </w:pPr>
            <w:r w:rsidRPr="005A2497">
              <w:rPr>
                <w:rFonts w:ascii="Arial" w:hAnsi="Arial" w:cs="Arial"/>
                <w:b/>
                <w:bCs/>
                <w:sz w:val="20"/>
                <w:szCs w:val="20"/>
              </w:rPr>
              <w:t>Transformation Theme</w:t>
            </w:r>
          </w:p>
        </w:tc>
        <w:tc>
          <w:tcPr>
            <w:tcW w:w="6375" w:type="dxa"/>
          </w:tcPr>
          <w:p w:rsidRPr="005A2497" w:rsidR="00160958" w:rsidP="00843326" w:rsidRDefault="0C2CE8CF" w14:paraId="0CDE3846" w14:textId="0B842F4B">
            <w:pPr>
              <w:pStyle w:val="NoSpacing"/>
              <w:rPr>
                <w:rFonts w:ascii="Arial" w:hAnsi="Arial" w:cs="Arial"/>
                <w:sz w:val="20"/>
                <w:szCs w:val="20"/>
              </w:rPr>
            </w:pPr>
            <w:r w:rsidRPr="6CE76D7F">
              <w:rPr>
                <w:rFonts w:ascii="Arial" w:hAnsi="Arial" w:cs="Arial"/>
                <w:sz w:val="20"/>
                <w:szCs w:val="20"/>
              </w:rPr>
              <w:t>Commercial</w:t>
            </w:r>
          </w:p>
        </w:tc>
      </w:tr>
      <w:tr w:rsidRPr="005A2497" w:rsidR="008504F9" w:rsidTr="35CCF489" w14:paraId="6A2A6B0B" w14:textId="77777777">
        <w:tc>
          <w:tcPr>
            <w:tcW w:w="2692" w:type="dxa"/>
            <w:shd w:val="clear" w:color="auto" w:fill="66B0AB"/>
          </w:tcPr>
          <w:p w:rsidRPr="005A2497" w:rsidR="008504F9" w:rsidP="00843326" w:rsidRDefault="008504F9" w14:paraId="4597EC35" w14:textId="0990AB8A">
            <w:pPr>
              <w:pStyle w:val="NoSpacing"/>
              <w:rPr>
                <w:rFonts w:ascii="Arial" w:hAnsi="Arial" w:cs="Arial"/>
                <w:b/>
                <w:bCs/>
                <w:sz w:val="20"/>
                <w:szCs w:val="20"/>
              </w:rPr>
            </w:pPr>
            <w:r w:rsidRPr="005A2497">
              <w:rPr>
                <w:rFonts w:ascii="Arial" w:hAnsi="Arial" w:cs="Arial"/>
                <w:b/>
                <w:bCs/>
                <w:sz w:val="20"/>
                <w:szCs w:val="20"/>
              </w:rPr>
              <w:t>Contributory Transformation Theme(s)</w:t>
            </w:r>
          </w:p>
        </w:tc>
        <w:tc>
          <w:tcPr>
            <w:tcW w:w="6375" w:type="dxa"/>
          </w:tcPr>
          <w:p w:rsidRPr="005A2497" w:rsidR="008504F9" w:rsidP="00843326" w:rsidRDefault="155EE264" w14:paraId="704D8D16" w14:textId="59AC8B9C">
            <w:pPr>
              <w:pStyle w:val="NoSpacing"/>
              <w:rPr>
                <w:rFonts w:ascii="Arial" w:hAnsi="Arial" w:cs="Arial"/>
                <w:sz w:val="20"/>
                <w:szCs w:val="20"/>
              </w:rPr>
            </w:pPr>
            <w:r w:rsidRPr="6CE76D7F">
              <w:rPr>
                <w:rFonts w:ascii="Arial" w:hAnsi="Arial" w:cs="Arial"/>
                <w:sz w:val="20"/>
                <w:szCs w:val="20"/>
              </w:rPr>
              <w:t>Place</w:t>
            </w:r>
            <w:r w:rsidRPr="6CE76D7F" w:rsidR="2E8C5503">
              <w:rPr>
                <w:rFonts w:ascii="Arial" w:hAnsi="Arial" w:cs="Arial"/>
                <w:sz w:val="20"/>
                <w:szCs w:val="20"/>
              </w:rPr>
              <w:t>, Prevention &amp; Early Intervention</w:t>
            </w:r>
          </w:p>
        </w:tc>
      </w:tr>
      <w:tr w:rsidRPr="005A2497" w:rsidR="00D64E6A" w:rsidTr="35CCF489" w14:paraId="109FED17" w14:textId="77777777">
        <w:tc>
          <w:tcPr>
            <w:tcW w:w="2692" w:type="dxa"/>
            <w:shd w:val="clear" w:color="auto" w:fill="66B0AB"/>
          </w:tcPr>
          <w:p w:rsidRPr="005A2497" w:rsidR="00D64E6A" w:rsidP="00843326" w:rsidRDefault="00D64E6A" w14:paraId="39BF07A2" w14:textId="7414B6E3">
            <w:pPr>
              <w:pStyle w:val="NoSpacing"/>
              <w:rPr>
                <w:rFonts w:ascii="Arial" w:hAnsi="Arial" w:cs="Arial"/>
                <w:b/>
                <w:bCs/>
                <w:sz w:val="20"/>
                <w:szCs w:val="20"/>
              </w:rPr>
            </w:pPr>
            <w:r w:rsidRPr="005A2497">
              <w:rPr>
                <w:rFonts w:ascii="Arial" w:hAnsi="Arial" w:cs="Arial"/>
                <w:b/>
                <w:bCs/>
                <w:sz w:val="20"/>
                <w:szCs w:val="20"/>
              </w:rPr>
              <w:t>Department and Team</w:t>
            </w:r>
          </w:p>
        </w:tc>
        <w:tc>
          <w:tcPr>
            <w:tcW w:w="6375" w:type="dxa"/>
          </w:tcPr>
          <w:p w:rsidRPr="005A2497" w:rsidR="00D64E6A" w:rsidP="00843326" w:rsidRDefault="183569D5" w14:paraId="70949EE0" w14:textId="48A03280">
            <w:pPr>
              <w:pStyle w:val="NoSpacing"/>
              <w:rPr>
                <w:rFonts w:ascii="Arial" w:hAnsi="Arial" w:cs="Arial"/>
                <w:sz w:val="20"/>
                <w:szCs w:val="20"/>
              </w:rPr>
            </w:pPr>
            <w:r w:rsidRPr="6CE76D7F">
              <w:rPr>
                <w:rFonts w:ascii="Arial" w:hAnsi="Arial" w:cs="Arial"/>
                <w:sz w:val="20"/>
                <w:szCs w:val="20"/>
              </w:rPr>
              <w:t>Procurement, Place</w:t>
            </w:r>
            <w:r w:rsidRPr="6CE76D7F" w:rsidR="298002EA">
              <w:rPr>
                <w:rFonts w:ascii="Arial" w:hAnsi="Arial" w:cs="Arial"/>
                <w:sz w:val="20"/>
                <w:szCs w:val="20"/>
              </w:rPr>
              <w:t>, Adults/Children’s</w:t>
            </w:r>
          </w:p>
        </w:tc>
      </w:tr>
    </w:tbl>
    <w:p w:rsidRPr="005A2497" w:rsidR="00D00560" w:rsidP="00843326" w:rsidRDefault="00D00560" w14:paraId="74FECF17" w14:textId="7777777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016"/>
      </w:tblGrid>
      <w:tr w:rsidRPr="005A2497" w:rsidR="00D00560" w:rsidTr="6B117EB3" w14:paraId="6B52BAB2" w14:textId="77777777">
        <w:tc>
          <w:tcPr>
            <w:tcW w:w="9016" w:type="dxa"/>
          </w:tcPr>
          <w:p w:rsidRPr="005A2497" w:rsidR="00D00560" w:rsidP="00843326" w:rsidRDefault="4077A406" w14:paraId="75A8E47E" w14:textId="38E7C5CF">
            <w:pPr>
              <w:pStyle w:val="NoSpacing"/>
              <w:rPr>
                <w:rFonts w:ascii="Arial" w:hAnsi="Arial" w:cs="Arial"/>
                <w:i/>
                <w:iCs/>
                <w:sz w:val="20"/>
                <w:szCs w:val="20"/>
              </w:rPr>
            </w:pPr>
            <w:r w:rsidRPr="6B117EB3">
              <w:rPr>
                <w:rFonts w:ascii="Arial" w:hAnsi="Arial" w:cs="Arial"/>
                <w:i/>
                <w:iCs/>
                <w:sz w:val="20"/>
                <w:szCs w:val="20"/>
              </w:rPr>
              <w:t xml:space="preserve">Following-on from the PIPS Review there are identified areas for improvement within </w:t>
            </w:r>
            <w:r w:rsidRPr="6B117EB3" w:rsidR="4585C9ED">
              <w:rPr>
                <w:rFonts w:ascii="Arial" w:hAnsi="Arial" w:cs="Arial"/>
                <w:i/>
                <w:iCs/>
                <w:sz w:val="20"/>
                <w:szCs w:val="20"/>
              </w:rPr>
              <w:t xml:space="preserve">LBC’s </w:t>
            </w:r>
            <w:r w:rsidRPr="6B117EB3" w:rsidR="7CFA6436">
              <w:rPr>
                <w:rFonts w:ascii="Arial" w:hAnsi="Arial" w:cs="Arial"/>
                <w:i/>
                <w:iCs/>
                <w:sz w:val="20"/>
                <w:szCs w:val="20"/>
              </w:rPr>
              <w:t>C</w:t>
            </w:r>
            <w:r w:rsidRPr="6B117EB3" w:rsidR="4585C9ED">
              <w:rPr>
                <w:rFonts w:ascii="Arial" w:hAnsi="Arial" w:cs="Arial"/>
                <w:i/>
                <w:iCs/>
                <w:sz w:val="20"/>
                <w:szCs w:val="20"/>
              </w:rPr>
              <w:t>ontract</w:t>
            </w:r>
            <w:r w:rsidRPr="6B117EB3">
              <w:rPr>
                <w:rFonts w:ascii="Arial" w:hAnsi="Arial" w:cs="Arial"/>
                <w:i/>
                <w:iCs/>
                <w:sz w:val="20"/>
                <w:szCs w:val="20"/>
              </w:rPr>
              <w:t xml:space="preserve"> </w:t>
            </w:r>
            <w:r w:rsidRPr="6B117EB3" w:rsidR="6F87E387">
              <w:rPr>
                <w:rFonts w:ascii="Arial" w:hAnsi="Arial" w:cs="Arial"/>
                <w:i/>
                <w:iCs/>
                <w:sz w:val="20"/>
                <w:szCs w:val="20"/>
              </w:rPr>
              <w:t>M</w:t>
            </w:r>
            <w:r w:rsidRPr="6B117EB3">
              <w:rPr>
                <w:rFonts w:ascii="Arial" w:hAnsi="Arial" w:cs="Arial"/>
                <w:i/>
                <w:iCs/>
                <w:sz w:val="20"/>
                <w:szCs w:val="20"/>
              </w:rPr>
              <w:t xml:space="preserve">anagement functions. This project will serve </w:t>
            </w:r>
            <w:r w:rsidRPr="6B117EB3" w:rsidR="586665A3">
              <w:rPr>
                <w:rFonts w:ascii="Arial" w:hAnsi="Arial" w:cs="Arial"/>
                <w:i/>
                <w:iCs/>
                <w:sz w:val="20"/>
                <w:szCs w:val="20"/>
              </w:rPr>
              <w:t xml:space="preserve">to ensure </w:t>
            </w:r>
            <w:r w:rsidRPr="6B117EB3" w:rsidR="60382038">
              <w:rPr>
                <w:rFonts w:ascii="Arial" w:hAnsi="Arial" w:cs="Arial"/>
                <w:i/>
                <w:iCs/>
                <w:sz w:val="20"/>
                <w:szCs w:val="20"/>
              </w:rPr>
              <w:t>C</w:t>
            </w:r>
            <w:r w:rsidRPr="6B117EB3" w:rsidR="586665A3">
              <w:rPr>
                <w:rFonts w:ascii="Arial" w:hAnsi="Arial" w:cs="Arial"/>
                <w:i/>
                <w:iCs/>
                <w:sz w:val="20"/>
                <w:szCs w:val="20"/>
              </w:rPr>
              <w:t xml:space="preserve">ontract </w:t>
            </w:r>
            <w:r w:rsidRPr="6B117EB3" w:rsidR="52C6A79D">
              <w:rPr>
                <w:rFonts w:ascii="Arial" w:hAnsi="Arial" w:cs="Arial"/>
                <w:i/>
                <w:iCs/>
                <w:sz w:val="20"/>
                <w:szCs w:val="20"/>
              </w:rPr>
              <w:t>M</w:t>
            </w:r>
            <w:r w:rsidRPr="6B117EB3" w:rsidR="586665A3">
              <w:rPr>
                <w:rFonts w:ascii="Arial" w:hAnsi="Arial" w:cs="Arial"/>
                <w:i/>
                <w:iCs/>
                <w:sz w:val="20"/>
                <w:szCs w:val="20"/>
              </w:rPr>
              <w:t xml:space="preserve">anagement </w:t>
            </w:r>
            <w:r w:rsidRPr="6B117EB3" w:rsidR="4AF21FD5">
              <w:rPr>
                <w:rFonts w:ascii="Arial" w:hAnsi="Arial" w:cs="Arial"/>
                <w:i/>
                <w:iCs/>
                <w:sz w:val="20"/>
                <w:szCs w:val="20"/>
              </w:rPr>
              <w:t>is</w:t>
            </w:r>
            <w:r w:rsidRPr="6B117EB3" w:rsidR="586665A3">
              <w:rPr>
                <w:rFonts w:ascii="Arial" w:hAnsi="Arial" w:cs="Arial"/>
                <w:i/>
                <w:iCs/>
                <w:sz w:val="20"/>
                <w:szCs w:val="20"/>
              </w:rPr>
              <w:t xml:space="preserve"> optimised and as much pecuniary and non-pecuniary value is levered from third part</w:t>
            </w:r>
            <w:r w:rsidRPr="6B117EB3" w:rsidR="7EBA9111">
              <w:rPr>
                <w:rFonts w:ascii="Arial" w:hAnsi="Arial" w:cs="Arial"/>
                <w:i/>
                <w:iCs/>
                <w:sz w:val="20"/>
                <w:szCs w:val="20"/>
              </w:rPr>
              <w:t>y suppliers contracting with Luton.</w:t>
            </w:r>
          </w:p>
        </w:tc>
      </w:tr>
    </w:tbl>
    <w:p w:rsidRPr="005A2497" w:rsidR="00D00560" w:rsidP="00843326" w:rsidRDefault="00D00560" w14:paraId="5EA8E2C4" w14:textId="77777777">
      <w:pPr>
        <w:pStyle w:val="NoSpacing"/>
        <w:rPr>
          <w:rFonts w:ascii="Arial" w:hAnsi="Arial" w:cs="Arial"/>
          <w:sz w:val="20"/>
          <w:szCs w:val="20"/>
        </w:rPr>
      </w:pPr>
    </w:p>
    <w:p w:rsidRPr="00035CB3" w:rsidR="00451566" w:rsidP="00035CB3" w:rsidRDefault="00451566" w14:paraId="7E7FC863" w14:textId="603FDBA3">
      <w:pPr>
        <w:pStyle w:val="NoSpacing"/>
        <w:shd w:val="clear" w:color="auto" w:fill="7030A0"/>
        <w:rPr>
          <w:rFonts w:ascii="Arial" w:hAnsi="Arial" w:cs="Arial"/>
          <w:b/>
          <w:bCs/>
          <w:color w:val="FFFFFF" w:themeColor="background1"/>
          <w:sz w:val="20"/>
          <w:szCs w:val="20"/>
        </w:rPr>
      </w:pPr>
      <w:r w:rsidRPr="00035CB3">
        <w:rPr>
          <w:rFonts w:ascii="Arial" w:hAnsi="Arial" w:cs="Arial"/>
          <w:b/>
          <w:bCs/>
          <w:color w:val="FFFFFF" w:themeColor="background1"/>
          <w:sz w:val="20"/>
          <w:szCs w:val="20"/>
        </w:rPr>
        <w:t>Scope</w:t>
      </w:r>
      <w:r w:rsidRPr="00035CB3" w:rsidR="007C6A50">
        <w:rPr>
          <w:rFonts w:ascii="Arial" w:hAnsi="Arial" w:cs="Arial"/>
          <w:b/>
          <w:bCs/>
          <w:color w:val="FFFFFF" w:themeColor="background1"/>
          <w:sz w:val="20"/>
          <w:szCs w:val="20"/>
        </w:rPr>
        <w:t xml:space="preserve"> of Project</w:t>
      </w:r>
      <w:r w:rsidRPr="00035CB3" w:rsidR="00160958">
        <w:rPr>
          <w:rFonts w:ascii="Arial" w:hAnsi="Arial" w:cs="Arial"/>
          <w:b/>
          <w:bCs/>
          <w:color w:val="FFFFFF" w:themeColor="background1"/>
          <w:sz w:val="20"/>
          <w:szCs w:val="20"/>
        </w:rPr>
        <w:t xml:space="preserve"> / Opportunity</w:t>
      </w:r>
    </w:p>
    <w:p w:rsidRPr="005A2497" w:rsidR="00B42CDF" w:rsidP="00B42CDF" w:rsidRDefault="00B42CDF" w14:paraId="6DE301CA" w14:textId="77777777">
      <w:pPr>
        <w:pStyle w:val="NoSpacing"/>
        <w:shd w:val="clear" w:color="auto" w:fill="FFFFFF" w:themeFill="background1"/>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Pr="005A2497" w:rsidR="00160958" w:rsidTr="714252C5" w14:paraId="6752377D" w14:textId="77777777">
        <w:tc>
          <w:tcPr>
            <w:tcW w:w="4508" w:type="dxa"/>
            <w:shd w:val="clear" w:color="auto" w:fill="66B0AB"/>
          </w:tcPr>
          <w:p w:rsidRPr="005A2497" w:rsidR="00160958" w:rsidP="00843326" w:rsidRDefault="00160958" w14:paraId="0DE59543" w14:textId="5A6EAE87">
            <w:pPr>
              <w:pStyle w:val="NoSpacing"/>
              <w:rPr>
                <w:rFonts w:ascii="Arial" w:hAnsi="Arial" w:cs="Arial"/>
                <w:b/>
                <w:bCs/>
                <w:sz w:val="20"/>
                <w:szCs w:val="20"/>
              </w:rPr>
            </w:pPr>
            <w:r w:rsidRPr="005A2497">
              <w:rPr>
                <w:rFonts w:ascii="Arial" w:hAnsi="Arial" w:cs="Arial"/>
                <w:b/>
                <w:bCs/>
                <w:sz w:val="20"/>
                <w:szCs w:val="20"/>
              </w:rPr>
              <w:t>In scope</w:t>
            </w:r>
          </w:p>
        </w:tc>
        <w:tc>
          <w:tcPr>
            <w:tcW w:w="4508" w:type="dxa"/>
            <w:shd w:val="clear" w:color="auto" w:fill="66B0AB"/>
          </w:tcPr>
          <w:p w:rsidRPr="005A2497" w:rsidR="00160958" w:rsidP="00843326" w:rsidRDefault="00160958" w14:paraId="3B9BE94E" w14:textId="077A16B9">
            <w:pPr>
              <w:pStyle w:val="NoSpacing"/>
              <w:rPr>
                <w:rFonts w:ascii="Arial" w:hAnsi="Arial" w:cs="Arial"/>
                <w:b/>
                <w:bCs/>
                <w:sz w:val="20"/>
                <w:szCs w:val="20"/>
              </w:rPr>
            </w:pPr>
            <w:r w:rsidRPr="005A2497">
              <w:rPr>
                <w:rFonts w:ascii="Arial" w:hAnsi="Arial" w:cs="Arial"/>
                <w:b/>
                <w:bCs/>
                <w:sz w:val="20"/>
                <w:szCs w:val="20"/>
              </w:rPr>
              <w:t>Out of Scope</w:t>
            </w:r>
          </w:p>
        </w:tc>
      </w:tr>
      <w:tr w:rsidRPr="005A2497" w:rsidR="00160958" w:rsidTr="714252C5" w14:paraId="7BD115FC" w14:textId="77777777">
        <w:tc>
          <w:tcPr>
            <w:tcW w:w="4508" w:type="dxa"/>
          </w:tcPr>
          <w:p w:rsidRPr="005A2497" w:rsidR="00160958" w:rsidP="00843326" w:rsidRDefault="0753DB1D" w14:paraId="5827B4AA" w14:textId="5D3299ED">
            <w:pPr>
              <w:pStyle w:val="NoSpacing"/>
              <w:rPr>
                <w:rFonts w:ascii="Arial" w:hAnsi="Arial" w:cs="Arial"/>
                <w:sz w:val="20"/>
                <w:szCs w:val="20"/>
              </w:rPr>
            </w:pPr>
            <w:r w:rsidRPr="527BC9F2">
              <w:rPr>
                <w:rFonts w:ascii="Arial" w:hAnsi="Arial" w:cs="Arial"/>
                <w:sz w:val="20"/>
                <w:szCs w:val="20"/>
              </w:rPr>
              <w:t>All contracts and non-contracted spend</w:t>
            </w:r>
          </w:p>
        </w:tc>
        <w:tc>
          <w:tcPr>
            <w:tcW w:w="4508" w:type="dxa"/>
          </w:tcPr>
          <w:p w:rsidRPr="005A2497" w:rsidR="00160958" w:rsidP="714252C5" w:rsidRDefault="1B51A3DE" w14:paraId="154A29CB" w14:textId="31C07755">
            <w:pPr>
              <w:pStyle w:val="NoSpacing"/>
              <w:rPr>
                <w:rFonts w:ascii="Arial" w:hAnsi="Arial" w:cs="Arial"/>
                <w:sz w:val="20"/>
                <w:szCs w:val="20"/>
              </w:rPr>
            </w:pPr>
            <w:r w:rsidRPr="714252C5">
              <w:rPr>
                <w:rFonts w:ascii="Arial" w:hAnsi="Arial" w:cs="Arial"/>
                <w:sz w:val="20"/>
                <w:szCs w:val="20"/>
              </w:rPr>
              <w:t xml:space="preserve">Luton </w:t>
            </w:r>
            <w:r w:rsidRPr="714252C5" w:rsidR="2164D405">
              <w:rPr>
                <w:rFonts w:ascii="Arial" w:hAnsi="Arial" w:cs="Arial"/>
                <w:sz w:val="20"/>
                <w:szCs w:val="20"/>
              </w:rPr>
              <w:t>Rising</w:t>
            </w:r>
          </w:p>
          <w:p w:rsidRPr="005A2497" w:rsidR="00160958" w:rsidP="00843326" w:rsidRDefault="645E09A1" w14:paraId="064ABA13" w14:textId="48785557">
            <w:pPr>
              <w:pStyle w:val="NoSpacing"/>
              <w:rPr>
                <w:rFonts w:ascii="Arial" w:hAnsi="Arial" w:cs="Arial"/>
                <w:sz w:val="20"/>
                <w:szCs w:val="20"/>
              </w:rPr>
            </w:pPr>
            <w:r w:rsidRPr="714252C5">
              <w:rPr>
                <w:rFonts w:ascii="Arial" w:hAnsi="Arial" w:cs="Arial"/>
                <w:sz w:val="20"/>
                <w:szCs w:val="20"/>
              </w:rPr>
              <w:t>EDT</w:t>
            </w:r>
          </w:p>
        </w:tc>
      </w:tr>
    </w:tbl>
    <w:p w:rsidR="00451566" w:rsidP="00843326" w:rsidRDefault="00451566" w14:paraId="7292B331" w14:textId="77777777">
      <w:pPr>
        <w:pStyle w:val="NoSpacing"/>
        <w:rPr>
          <w:rFonts w:ascii="Arial" w:hAnsi="Arial" w:cs="Arial"/>
          <w:sz w:val="20"/>
          <w:szCs w:val="2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tblGrid>
      <w:tr w:rsidRPr="007D2E09" w:rsidR="007D2E09" w:rsidTr="007D2E09" w14:paraId="48BAF530"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66B0AB"/>
            <w:hideMark/>
          </w:tcPr>
          <w:p w:rsidRPr="007D2E09" w:rsidR="007D2E09" w:rsidP="007D2E09" w:rsidRDefault="007D2E09" w14:paraId="7777C484" w14:textId="77777777">
            <w:pPr>
              <w:jc w:val="both"/>
              <w:textAlignment w:val="baseline"/>
              <w:rPr>
                <w:rFonts w:ascii="Segoe UI" w:hAnsi="Segoe UI" w:eastAsia="Times New Roman" w:cs="Segoe UI"/>
                <w:sz w:val="18"/>
                <w:szCs w:val="18"/>
                <w:lang w:eastAsia="en-GB"/>
              </w:rPr>
            </w:pPr>
            <w:r w:rsidRPr="007D2E09">
              <w:rPr>
                <w:rFonts w:ascii="Arial" w:hAnsi="Arial" w:eastAsia="Times New Roman" w:cs="Arial"/>
                <w:b/>
                <w:bCs/>
                <w:color w:val="000000"/>
                <w:sz w:val="20"/>
                <w:szCs w:val="20"/>
                <w:lang w:eastAsia="en-GB"/>
              </w:rPr>
              <w:t>Linked / Complementary OBCs</w:t>
            </w:r>
            <w:r w:rsidRPr="007D2E09">
              <w:rPr>
                <w:rFonts w:ascii="Arial" w:hAnsi="Arial" w:eastAsia="Times New Roman" w:cs="Arial"/>
                <w:color w:val="000000"/>
                <w:sz w:val="20"/>
                <w:szCs w:val="20"/>
                <w:lang w:eastAsia="en-GB"/>
              </w:rPr>
              <w:t> </w:t>
            </w:r>
          </w:p>
        </w:tc>
      </w:tr>
      <w:tr w:rsidRPr="007D2E09" w:rsidR="007D2E09" w:rsidTr="007D2E09" w14:paraId="359F194E" w14:textId="77777777">
        <w:trPr>
          <w:trHeight w:val="585"/>
        </w:trPr>
        <w:tc>
          <w:tcPr>
            <w:tcW w:w="45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7D2E09" w:rsidP="007D2E09" w:rsidRDefault="007D2E09" w14:paraId="0A0DC9FA" w14:textId="77777777">
            <w:pPr>
              <w:textAlignment w:val="baseline"/>
              <w:rPr>
                <w:rFonts w:ascii="Arial" w:hAnsi="Arial" w:eastAsia="Times New Roman" w:cs="Arial"/>
                <w:color w:val="000000"/>
                <w:sz w:val="20"/>
                <w:szCs w:val="20"/>
                <w:lang w:eastAsia="en-GB"/>
              </w:rPr>
            </w:pPr>
            <w:r>
              <w:rPr>
                <w:rFonts w:ascii="Arial" w:hAnsi="Arial" w:eastAsia="Times New Roman" w:cs="Arial"/>
                <w:color w:val="000000"/>
                <w:sz w:val="20"/>
                <w:szCs w:val="20"/>
                <w:lang w:eastAsia="en-GB"/>
              </w:rPr>
              <w:t>Procurement TOM</w:t>
            </w:r>
            <w:r w:rsidRPr="007D2E09">
              <w:rPr>
                <w:rFonts w:ascii="Arial" w:hAnsi="Arial" w:eastAsia="Times New Roman" w:cs="Arial"/>
                <w:color w:val="000000"/>
                <w:sz w:val="20"/>
                <w:szCs w:val="20"/>
                <w:lang w:eastAsia="en-GB"/>
              </w:rPr>
              <w:t> </w:t>
            </w:r>
          </w:p>
          <w:p w:rsidRPr="007D2E09" w:rsidR="00B62AFE" w:rsidP="007D2E09" w:rsidRDefault="00B62AFE" w14:paraId="57175830" w14:textId="10EB83CD">
            <w:pPr>
              <w:textAlignment w:val="baseline"/>
              <w:rPr>
                <w:rFonts w:ascii="Segoe UI" w:hAnsi="Segoe UI" w:eastAsia="Times New Roman" w:cs="Segoe UI"/>
                <w:sz w:val="18"/>
                <w:szCs w:val="18"/>
                <w:lang w:eastAsia="en-GB"/>
              </w:rPr>
            </w:pPr>
            <w:r w:rsidRPr="00B62AFE">
              <w:rPr>
                <w:rFonts w:ascii="Arial" w:hAnsi="Arial" w:eastAsia="Times New Roman" w:cs="Arial"/>
                <w:color w:val="000000"/>
                <w:sz w:val="20"/>
                <w:szCs w:val="20"/>
                <w:lang w:eastAsia="en-GB"/>
              </w:rPr>
              <w:t>Strategic Commissioning</w:t>
            </w:r>
          </w:p>
        </w:tc>
      </w:tr>
    </w:tbl>
    <w:p w:rsidRPr="005A2497" w:rsidR="007D2E09" w:rsidP="00843326" w:rsidRDefault="007D2E09" w14:paraId="5F9EBAF8" w14:textId="77777777">
      <w:pPr>
        <w:pStyle w:val="NoSpacing"/>
        <w:rPr>
          <w:rFonts w:ascii="Arial" w:hAnsi="Arial" w:cs="Arial"/>
          <w:sz w:val="20"/>
          <w:szCs w:val="20"/>
        </w:rPr>
      </w:pPr>
    </w:p>
    <w:p w:rsidRPr="00035CB3" w:rsidR="00160958" w:rsidP="00035CB3" w:rsidRDefault="00160958" w14:paraId="1201E35E" w14:textId="5B480792">
      <w:pPr>
        <w:pStyle w:val="NoSpacing"/>
        <w:shd w:val="clear" w:color="auto" w:fill="7030A0"/>
        <w:rPr>
          <w:rFonts w:ascii="Arial" w:hAnsi="Arial" w:cs="Arial"/>
          <w:b/>
          <w:bCs/>
          <w:color w:val="FFFFFF" w:themeColor="background1"/>
          <w:sz w:val="20"/>
          <w:szCs w:val="20"/>
        </w:rPr>
      </w:pPr>
      <w:r w:rsidRPr="00035CB3">
        <w:rPr>
          <w:rFonts w:ascii="Arial" w:hAnsi="Arial" w:cs="Arial"/>
          <w:b/>
          <w:bCs/>
          <w:color w:val="FFFFFF" w:themeColor="background1"/>
          <w:sz w:val="20"/>
          <w:szCs w:val="20"/>
        </w:rPr>
        <w:t>Objectives</w:t>
      </w:r>
    </w:p>
    <w:p w:rsidRPr="005A2497" w:rsidR="00160958" w:rsidP="0061045B" w:rsidRDefault="6F41EA3B" w14:paraId="771C414B" w14:textId="5B6EE521">
      <w:pPr>
        <w:pStyle w:val="NoSpacing"/>
        <w:numPr>
          <w:ilvl w:val="0"/>
          <w:numId w:val="9"/>
        </w:numPr>
        <w:rPr>
          <w:rFonts w:ascii="Arial" w:hAnsi="Arial" w:cs="Arial"/>
          <w:sz w:val="20"/>
          <w:szCs w:val="20"/>
        </w:rPr>
      </w:pPr>
      <w:r w:rsidRPr="6B117EB3">
        <w:rPr>
          <w:rFonts w:ascii="Arial" w:hAnsi="Arial" w:cs="Arial"/>
          <w:sz w:val="20"/>
          <w:szCs w:val="20"/>
        </w:rPr>
        <w:t xml:space="preserve">Progress with the PIPS recommendations and optimise </w:t>
      </w:r>
      <w:r w:rsidRPr="6B117EB3" w:rsidR="1CA97661">
        <w:rPr>
          <w:rFonts w:ascii="Arial" w:hAnsi="Arial" w:cs="Arial"/>
          <w:sz w:val="20"/>
          <w:szCs w:val="20"/>
        </w:rPr>
        <w:t>C</w:t>
      </w:r>
      <w:r w:rsidRPr="6B117EB3" w:rsidR="4BC9AD8B">
        <w:rPr>
          <w:rFonts w:ascii="Arial" w:hAnsi="Arial" w:cs="Arial"/>
          <w:sz w:val="20"/>
          <w:szCs w:val="20"/>
        </w:rPr>
        <w:t xml:space="preserve">ontract </w:t>
      </w:r>
      <w:r w:rsidRPr="6B117EB3" w:rsidR="4E8B408A">
        <w:rPr>
          <w:rFonts w:ascii="Arial" w:hAnsi="Arial" w:cs="Arial"/>
          <w:sz w:val="20"/>
          <w:szCs w:val="20"/>
        </w:rPr>
        <w:t>M</w:t>
      </w:r>
      <w:r w:rsidRPr="6B117EB3" w:rsidR="4BC9AD8B">
        <w:rPr>
          <w:rFonts w:ascii="Arial" w:hAnsi="Arial" w:cs="Arial"/>
          <w:sz w:val="20"/>
          <w:szCs w:val="20"/>
        </w:rPr>
        <w:t>anagement</w:t>
      </w:r>
      <w:r w:rsidRPr="6B117EB3" w:rsidR="2048DC57">
        <w:rPr>
          <w:rFonts w:ascii="Arial" w:hAnsi="Arial" w:cs="Arial"/>
          <w:sz w:val="20"/>
          <w:szCs w:val="20"/>
        </w:rPr>
        <w:t>.</w:t>
      </w:r>
    </w:p>
    <w:p w:rsidRPr="005A2497" w:rsidR="0061045B" w:rsidP="0061045B" w:rsidRDefault="6F41EA3B" w14:paraId="07DD5DB6" w14:textId="7538143E">
      <w:pPr>
        <w:pStyle w:val="NoSpacing"/>
        <w:numPr>
          <w:ilvl w:val="0"/>
          <w:numId w:val="9"/>
        </w:numPr>
        <w:rPr>
          <w:rFonts w:ascii="Arial" w:hAnsi="Arial" w:cs="Arial"/>
          <w:sz w:val="20"/>
          <w:szCs w:val="20"/>
        </w:rPr>
      </w:pPr>
      <w:r w:rsidRPr="1C8BC47B">
        <w:rPr>
          <w:rFonts w:ascii="Arial" w:hAnsi="Arial" w:cs="Arial"/>
          <w:sz w:val="20"/>
          <w:szCs w:val="20"/>
        </w:rPr>
        <w:t xml:space="preserve">Review </w:t>
      </w:r>
      <w:r w:rsidRPr="1C8BC47B" w:rsidR="6AC8A16F">
        <w:rPr>
          <w:rFonts w:ascii="Arial" w:hAnsi="Arial" w:cs="Arial"/>
          <w:sz w:val="20"/>
          <w:szCs w:val="20"/>
        </w:rPr>
        <w:t>C</w:t>
      </w:r>
      <w:r w:rsidRPr="1C8BC47B">
        <w:rPr>
          <w:rFonts w:ascii="Arial" w:hAnsi="Arial" w:cs="Arial"/>
          <w:sz w:val="20"/>
          <w:szCs w:val="20"/>
        </w:rPr>
        <w:t xml:space="preserve">ontract </w:t>
      </w:r>
      <w:r w:rsidRPr="1C8BC47B" w:rsidR="712F37D3">
        <w:rPr>
          <w:rFonts w:ascii="Arial" w:hAnsi="Arial" w:cs="Arial"/>
          <w:sz w:val="20"/>
          <w:szCs w:val="20"/>
        </w:rPr>
        <w:t>M</w:t>
      </w:r>
      <w:r w:rsidRPr="1C8BC47B">
        <w:rPr>
          <w:rFonts w:ascii="Arial" w:hAnsi="Arial" w:cs="Arial"/>
          <w:sz w:val="20"/>
          <w:szCs w:val="20"/>
        </w:rPr>
        <w:t xml:space="preserve">anagement </w:t>
      </w:r>
      <w:r w:rsidRPr="1C8BC47B" w:rsidR="1331CAC1">
        <w:rPr>
          <w:rFonts w:ascii="Arial" w:hAnsi="Arial" w:cs="Arial"/>
          <w:sz w:val="20"/>
          <w:szCs w:val="20"/>
        </w:rPr>
        <w:t xml:space="preserve">practice </w:t>
      </w:r>
      <w:r w:rsidRPr="1C8BC47B">
        <w:rPr>
          <w:rFonts w:ascii="Arial" w:hAnsi="Arial" w:cs="Arial"/>
          <w:sz w:val="20"/>
          <w:szCs w:val="20"/>
        </w:rPr>
        <w:t>and develop a TOM for delivery</w:t>
      </w:r>
      <w:r w:rsidRPr="1C8BC47B" w:rsidR="569D2829">
        <w:rPr>
          <w:rFonts w:ascii="Arial" w:hAnsi="Arial" w:cs="Arial"/>
          <w:sz w:val="20"/>
          <w:szCs w:val="20"/>
        </w:rPr>
        <w:t>, inclusive of KPI gathering and analysis</w:t>
      </w:r>
      <w:r w:rsidRPr="1C8BC47B" w:rsidR="6FF65096">
        <w:rPr>
          <w:rFonts w:ascii="Arial" w:hAnsi="Arial" w:cs="Arial"/>
          <w:sz w:val="20"/>
          <w:szCs w:val="20"/>
        </w:rPr>
        <w:t>.</w:t>
      </w:r>
    </w:p>
    <w:p w:rsidRPr="005A2497" w:rsidR="0061045B" w:rsidP="0061045B" w:rsidRDefault="73E2CF30" w14:paraId="5C113A76" w14:textId="70DB2614">
      <w:pPr>
        <w:pStyle w:val="NoSpacing"/>
        <w:numPr>
          <w:ilvl w:val="0"/>
          <w:numId w:val="9"/>
        </w:numPr>
        <w:rPr>
          <w:rFonts w:ascii="Arial" w:hAnsi="Arial" w:cs="Arial"/>
          <w:sz w:val="20"/>
          <w:szCs w:val="20"/>
        </w:rPr>
      </w:pPr>
      <w:r w:rsidRPr="58B673BF">
        <w:rPr>
          <w:rFonts w:ascii="Arial" w:hAnsi="Arial" w:cs="Arial"/>
          <w:sz w:val="20"/>
          <w:szCs w:val="20"/>
        </w:rPr>
        <w:t xml:space="preserve">Review contractual arrangements with other </w:t>
      </w:r>
      <w:r w:rsidRPr="58B673BF" w:rsidR="3023E548">
        <w:rPr>
          <w:rFonts w:ascii="Arial" w:hAnsi="Arial" w:cs="Arial"/>
          <w:sz w:val="20"/>
          <w:szCs w:val="20"/>
        </w:rPr>
        <w:t>c</w:t>
      </w:r>
      <w:r w:rsidRPr="58B673BF">
        <w:rPr>
          <w:rFonts w:ascii="Arial" w:hAnsi="Arial" w:cs="Arial"/>
          <w:sz w:val="20"/>
          <w:szCs w:val="20"/>
        </w:rPr>
        <w:t>ouncils to determine if VFM is being achieved</w:t>
      </w:r>
      <w:r w:rsidRPr="58B673BF" w:rsidR="334F4202">
        <w:rPr>
          <w:rFonts w:ascii="Arial" w:hAnsi="Arial" w:cs="Arial"/>
          <w:sz w:val="20"/>
          <w:szCs w:val="20"/>
        </w:rPr>
        <w:t>.</w:t>
      </w:r>
    </w:p>
    <w:p w:rsidR="3544E90E" w:rsidP="7B3D8706" w:rsidRDefault="2C8DD5A9" w14:paraId="6B7D4627" w14:textId="2BCBF417">
      <w:pPr>
        <w:pStyle w:val="NoSpacing"/>
        <w:numPr>
          <w:ilvl w:val="0"/>
          <w:numId w:val="9"/>
        </w:numPr>
        <w:rPr>
          <w:rFonts w:ascii="Arial" w:hAnsi="Arial" w:cs="Arial"/>
          <w:sz w:val="20"/>
          <w:szCs w:val="20"/>
        </w:rPr>
      </w:pPr>
      <w:r w:rsidRPr="58B673BF">
        <w:rPr>
          <w:rFonts w:ascii="Arial" w:hAnsi="Arial" w:cs="Arial"/>
          <w:sz w:val="20"/>
          <w:szCs w:val="20"/>
        </w:rPr>
        <w:t xml:space="preserve">Review Corporate Contract Management function to determine if this is working effectively for all Contract Managers and Owners within </w:t>
      </w:r>
      <w:r w:rsidRPr="58B673BF" w:rsidR="73929244">
        <w:rPr>
          <w:rFonts w:ascii="Arial" w:hAnsi="Arial" w:cs="Arial"/>
          <w:sz w:val="20"/>
          <w:szCs w:val="20"/>
        </w:rPr>
        <w:t>LBC</w:t>
      </w:r>
      <w:r w:rsidRPr="58B673BF" w:rsidR="1D872D23">
        <w:rPr>
          <w:rFonts w:ascii="Arial" w:hAnsi="Arial" w:cs="Arial"/>
          <w:sz w:val="20"/>
          <w:szCs w:val="20"/>
        </w:rPr>
        <w:t>.</w:t>
      </w:r>
    </w:p>
    <w:p w:rsidR="3544E90E" w:rsidP="7B3D8706" w:rsidRDefault="2C8DD5A9" w14:paraId="54166781" w14:textId="3BA9C5FA">
      <w:pPr>
        <w:pStyle w:val="NoSpacing"/>
        <w:numPr>
          <w:ilvl w:val="0"/>
          <w:numId w:val="9"/>
        </w:numPr>
        <w:rPr>
          <w:rFonts w:ascii="Arial" w:hAnsi="Arial" w:cs="Arial"/>
          <w:sz w:val="20"/>
          <w:szCs w:val="20"/>
        </w:rPr>
      </w:pPr>
      <w:r w:rsidRPr="5AD7207E">
        <w:rPr>
          <w:rFonts w:ascii="Arial" w:hAnsi="Arial" w:cs="Arial"/>
          <w:sz w:val="20"/>
          <w:szCs w:val="20"/>
        </w:rPr>
        <w:t>Identify key contractual spend where costs can be driven down and value levered in the short-medium term</w:t>
      </w:r>
      <w:r w:rsidRPr="5AD7207E" w:rsidR="0453C1DA">
        <w:rPr>
          <w:rFonts w:ascii="Arial" w:hAnsi="Arial" w:cs="Arial"/>
          <w:sz w:val="20"/>
          <w:szCs w:val="20"/>
        </w:rPr>
        <w:t>.</w:t>
      </w:r>
    </w:p>
    <w:p w:rsidR="5AD7207E" w:rsidP="5AD7207E" w:rsidRDefault="7E293685" w14:paraId="4BB9F46F" w14:textId="1462863F">
      <w:pPr>
        <w:pStyle w:val="NoSpacing"/>
        <w:numPr>
          <w:ilvl w:val="0"/>
          <w:numId w:val="9"/>
        </w:numPr>
        <w:rPr>
          <w:rFonts w:ascii="Arial" w:hAnsi="Arial" w:cs="Arial"/>
          <w:sz w:val="20"/>
          <w:szCs w:val="20"/>
        </w:rPr>
      </w:pPr>
      <w:r w:rsidRPr="0C7CBD0B">
        <w:rPr>
          <w:rFonts w:ascii="Arial" w:hAnsi="Arial" w:cs="Arial"/>
          <w:sz w:val="20"/>
          <w:szCs w:val="20"/>
        </w:rPr>
        <w:t>Consider contract segmentation and understand risk and opportunity to improve contract management</w:t>
      </w:r>
      <w:r w:rsidRPr="0C7CBD0B" w:rsidR="5E76066C">
        <w:rPr>
          <w:rFonts w:ascii="Arial" w:hAnsi="Arial" w:cs="Arial"/>
          <w:sz w:val="20"/>
          <w:szCs w:val="20"/>
        </w:rPr>
        <w:t xml:space="preserve"> through workbooks, audited internally</w:t>
      </w:r>
      <w:r w:rsidRPr="0C7CBD0B" w:rsidR="59E0516E">
        <w:rPr>
          <w:rFonts w:ascii="Arial" w:hAnsi="Arial" w:cs="Arial"/>
          <w:sz w:val="20"/>
          <w:szCs w:val="20"/>
        </w:rPr>
        <w:t>.</w:t>
      </w:r>
      <w:r w:rsidRPr="0C7CBD0B" w:rsidR="70F8B2D4">
        <w:rPr>
          <w:rFonts w:ascii="Arial" w:hAnsi="Arial" w:cs="Arial"/>
          <w:sz w:val="20"/>
          <w:szCs w:val="20"/>
        </w:rPr>
        <w:t xml:space="preserve">  </w:t>
      </w:r>
    </w:p>
    <w:p w:rsidR="3544E90E" w:rsidP="7B3D8706" w:rsidRDefault="2C8DD5A9" w14:paraId="707744EA" w14:textId="6DE8CBC1">
      <w:pPr>
        <w:pStyle w:val="NoSpacing"/>
        <w:numPr>
          <w:ilvl w:val="0"/>
          <w:numId w:val="9"/>
        </w:numPr>
        <w:rPr>
          <w:rFonts w:ascii="Arial" w:hAnsi="Arial" w:cs="Arial"/>
          <w:sz w:val="20"/>
          <w:szCs w:val="20"/>
        </w:rPr>
      </w:pPr>
      <w:r w:rsidRPr="5AD7207E">
        <w:rPr>
          <w:rFonts w:ascii="Arial" w:hAnsi="Arial" w:cs="Arial"/>
          <w:sz w:val="20"/>
          <w:szCs w:val="20"/>
        </w:rPr>
        <w:t>Review of standard contractual terms and conditions</w:t>
      </w:r>
      <w:r w:rsidRPr="5AD7207E" w:rsidR="11B0F8D7">
        <w:rPr>
          <w:rFonts w:ascii="Arial" w:hAnsi="Arial" w:cs="Arial"/>
          <w:sz w:val="20"/>
          <w:szCs w:val="20"/>
        </w:rPr>
        <w:t>.</w:t>
      </w:r>
    </w:p>
    <w:p w:rsidRPr="005A2497" w:rsidR="0061045B" w:rsidP="0061045B" w:rsidRDefault="4314A705" w14:paraId="509C9493" w14:textId="0596E9C5">
      <w:pPr>
        <w:pStyle w:val="NoSpacing"/>
        <w:numPr>
          <w:ilvl w:val="0"/>
          <w:numId w:val="9"/>
        </w:numPr>
        <w:rPr>
          <w:rFonts w:ascii="Arial" w:hAnsi="Arial" w:cs="Arial"/>
          <w:sz w:val="20"/>
          <w:szCs w:val="20"/>
        </w:rPr>
      </w:pPr>
      <w:r w:rsidRPr="5AD7207E">
        <w:rPr>
          <w:rFonts w:ascii="Arial" w:hAnsi="Arial" w:cs="Arial"/>
          <w:sz w:val="20"/>
          <w:szCs w:val="20"/>
        </w:rPr>
        <w:t>Review third party spend across all Directorates</w:t>
      </w:r>
      <w:r w:rsidRPr="5AD7207E" w:rsidR="1156D2CC">
        <w:rPr>
          <w:rFonts w:ascii="Arial" w:hAnsi="Arial" w:cs="Arial"/>
          <w:sz w:val="20"/>
          <w:szCs w:val="20"/>
        </w:rPr>
        <w:t>.</w:t>
      </w:r>
    </w:p>
    <w:p w:rsidR="655F210F" w:rsidP="6CE76D7F" w:rsidRDefault="0E63E313" w14:paraId="6913266A" w14:textId="75072F2D">
      <w:pPr>
        <w:pStyle w:val="NoSpacing"/>
        <w:numPr>
          <w:ilvl w:val="0"/>
          <w:numId w:val="9"/>
        </w:numPr>
        <w:rPr>
          <w:rFonts w:ascii="Arial" w:hAnsi="Arial" w:cs="Arial"/>
          <w:sz w:val="20"/>
          <w:szCs w:val="20"/>
        </w:rPr>
      </w:pPr>
      <w:r w:rsidRPr="5AD7207E">
        <w:rPr>
          <w:rFonts w:ascii="Arial" w:hAnsi="Arial" w:cs="Arial"/>
          <w:sz w:val="20"/>
          <w:szCs w:val="20"/>
        </w:rPr>
        <w:t>Review of Social Value measures and reporting</w:t>
      </w:r>
      <w:r w:rsidRPr="5AD7207E" w:rsidR="63A6F54B">
        <w:rPr>
          <w:rFonts w:ascii="Arial" w:hAnsi="Arial" w:cs="Arial"/>
          <w:sz w:val="20"/>
          <w:szCs w:val="20"/>
        </w:rPr>
        <w:t>.</w:t>
      </w:r>
    </w:p>
    <w:p w:rsidR="28223D71" w:rsidP="6CE76D7F" w:rsidRDefault="1CBCA46B" w14:paraId="72E243CE" w14:textId="5EA5E73C">
      <w:pPr>
        <w:pStyle w:val="NoSpacing"/>
        <w:numPr>
          <w:ilvl w:val="0"/>
          <w:numId w:val="9"/>
        </w:numPr>
        <w:rPr>
          <w:rFonts w:ascii="Arial" w:hAnsi="Arial" w:cs="Arial"/>
          <w:sz w:val="20"/>
          <w:szCs w:val="20"/>
        </w:rPr>
      </w:pPr>
      <w:r w:rsidRPr="5AD7207E">
        <w:rPr>
          <w:rFonts w:ascii="Arial" w:hAnsi="Arial" w:cs="Arial"/>
          <w:sz w:val="20"/>
          <w:szCs w:val="20"/>
        </w:rPr>
        <w:t>Review of archiving contract and potential links with digitisation and an EDRMS</w:t>
      </w:r>
      <w:r w:rsidRPr="5AD7207E" w:rsidR="5F3E868C">
        <w:rPr>
          <w:rFonts w:ascii="Arial" w:hAnsi="Arial" w:cs="Arial"/>
          <w:sz w:val="20"/>
          <w:szCs w:val="20"/>
        </w:rPr>
        <w:t>.</w:t>
      </w:r>
    </w:p>
    <w:p w:rsidR="4D5171DD" w:rsidP="527BC9F2" w:rsidRDefault="4FE610B9" w14:paraId="2C462940" w14:textId="445EA858">
      <w:pPr>
        <w:pStyle w:val="NoSpacing"/>
        <w:numPr>
          <w:ilvl w:val="0"/>
          <w:numId w:val="9"/>
        </w:numPr>
        <w:rPr>
          <w:rFonts w:ascii="Arial" w:hAnsi="Arial" w:cs="Arial"/>
          <w:sz w:val="20"/>
          <w:szCs w:val="20"/>
        </w:rPr>
      </w:pPr>
      <w:r w:rsidRPr="58B673BF">
        <w:rPr>
          <w:rFonts w:ascii="Arial" w:hAnsi="Arial" w:cs="Arial"/>
          <w:sz w:val="20"/>
          <w:szCs w:val="20"/>
        </w:rPr>
        <w:t>Review other shared contracts</w:t>
      </w:r>
      <w:r w:rsidRPr="58B673BF" w:rsidR="67037A6A">
        <w:rPr>
          <w:rFonts w:ascii="Arial" w:hAnsi="Arial" w:cs="Arial"/>
          <w:sz w:val="20"/>
          <w:szCs w:val="20"/>
        </w:rPr>
        <w:t>/services</w:t>
      </w:r>
      <w:r w:rsidRPr="58B673BF">
        <w:rPr>
          <w:rFonts w:ascii="Arial" w:hAnsi="Arial" w:cs="Arial"/>
          <w:sz w:val="20"/>
          <w:szCs w:val="20"/>
        </w:rPr>
        <w:t xml:space="preserve"> with neighbouring </w:t>
      </w:r>
      <w:r w:rsidRPr="58B673BF" w:rsidR="4BB882A8">
        <w:rPr>
          <w:rFonts w:ascii="Arial" w:hAnsi="Arial" w:cs="Arial"/>
          <w:sz w:val="20"/>
          <w:szCs w:val="20"/>
        </w:rPr>
        <w:t>c</w:t>
      </w:r>
      <w:r w:rsidRPr="58B673BF">
        <w:rPr>
          <w:rFonts w:ascii="Arial" w:hAnsi="Arial" w:cs="Arial"/>
          <w:sz w:val="20"/>
          <w:szCs w:val="20"/>
        </w:rPr>
        <w:t>ouncils</w:t>
      </w:r>
      <w:r w:rsidRPr="58B673BF" w:rsidR="1D210AE4">
        <w:rPr>
          <w:rFonts w:ascii="Arial" w:hAnsi="Arial" w:cs="Arial"/>
          <w:sz w:val="20"/>
          <w:szCs w:val="20"/>
        </w:rPr>
        <w:t>.</w:t>
      </w:r>
    </w:p>
    <w:p w:rsidR="3B0BBB96" w:rsidP="7B3D8706" w:rsidRDefault="0E127633" w14:paraId="5B935897" w14:textId="655B830C">
      <w:pPr>
        <w:pStyle w:val="NoSpacing"/>
        <w:numPr>
          <w:ilvl w:val="0"/>
          <w:numId w:val="9"/>
        </w:numPr>
        <w:rPr>
          <w:rFonts w:ascii="Arial" w:hAnsi="Arial" w:cs="Arial"/>
          <w:sz w:val="20"/>
          <w:szCs w:val="20"/>
        </w:rPr>
      </w:pPr>
      <w:r w:rsidRPr="714252C5">
        <w:rPr>
          <w:rFonts w:ascii="Arial" w:hAnsi="Arial" w:cs="Arial"/>
          <w:sz w:val="20"/>
          <w:szCs w:val="20"/>
        </w:rPr>
        <w:t>Align third party spend to the outcomes of the Procurement TOM</w:t>
      </w:r>
      <w:r w:rsidRPr="714252C5" w:rsidR="4BC4FC3B">
        <w:rPr>
          <w:rFonts w:ascii="Arial" w:hAnsi="Arial" w:cs="Arial"/>
          <w:sz w:val="20"/>
          <w:szCs w:val="20"/>
        </w:rPr>
        <w:t>.</w:t>
      </w:r>
    </w:p>
    <w:p w:rsidR="567CA600" w:rsidP="714252C5" w:rsidRDefault="567CA600" w14:paraId="5A1238DB" w14:textId="0AA05703">
      <w:pPr>
        <w:pStyle w:val="NoSpacing"/>
        <w:numPr>
          <w:ilvl w:val="0"/>
          <w:numId w:val="9"/>
        </w:numPr>
        <w:rPr>
          <w:rFonts w:ascii="Arial" w:hAnsi="Arial" w:cs="Arial"/>
          <w:sz w:val="20"/>
          <w:szCs w:val="20"/>
        </w:rPr>
      </w:pPr>
      <w:r w:rsidRPr="0DF2823B">
        <w:rPr>
          <w:rFonts w:ascii="Arial" w:hAnsi="Arial" w:cs="Arial"/>
          <w:sz w:val="20"/>
          <w:szCs w:val="20"/>
        </w:rPr>
        <w:t>Implement a contract savings tracker to ensure demonstrable change is reducing third party spend</w:t>
      </w:r>
      <w:r w:rsidRPr="0DF2823B" w:rsidR="307FEBA4">
        <w:rPr>
          <w:rFonts w:ascii="Arial" w:hAnsi="Arial" w:cs="Arial"/>
          <w:sz w:val="20"/>
          <w:szCs w:val="20"/>
        </w:rPr>
        <w:t>.</w:t>
      </w:r>
    </w:p>
    <w:p w:rsidR="567CA600" w:rsidP="714252C5" w:rsidRDefault="567CA600" w14:paraId="7DE39CB1" w14:textId="57EE953C">
      <w:pPr>
        <w:pStyle w:val="NoSpacing"/>
        <w:numPr>
          <w:ilvl w:val="0"/>
          <w:numId w:val="9"/>
        </w:numPr>
        <w:rPr>
          <w:rFonts w:ascii="Arial" w:hAnsi="Arial" w:cs="Arial"/>
          <w:sz w:val="20"/>
          <w:szCs w:val="20"/>
        </w:rPr>
      </w:pPr>
      <w:r w:rsidRPr="0DF2823B">
        <w:rPr>
          <w:rFonts w:ascii="Arial" w:hAnsi="Arial" w:cs="Arial"/>
          <w:sz w:val="20"/>
          <w:szCs w:val="20"/>
        </w:rPr>
        <w:t>Ensure continuous improvement is being tracked</w:t>
      </w:r>
      <w:r w:rsidRPr="0DF2823B" w:rsidR="4234010D">
        <w:rPr>
          <w:rFonts w:ascii="Arial" w:hAnsi="Arial" w:cs="Arial"/>
          <w:sz w:val="20"/>
          <w:szCs w:val="20"/>
        </w:rPr>
        <w:t>.</w:t>
      </w:r>
    </w:p>
    <w:p w:rsidR="774BE6F3" w:rsidP="4C30C4F4" w:rsidRDefault="774BE6F3" w14:paraId="7BF7C530" w14:textId="207208D2">
      <w:pPr>
        <w:pStyle w:val="NoSpacing"/>
        <w:numPr>
          <w:ilvl w:val="0"/>
          <w:numId w:val="9"/>
        </w:numPr>
        <w:rPr>
          <w:rFonts w:ascii="Arial" w:hAnsi="Arial" w:cs="Arial"/>
          <w:sz w:val="20"/>
          <w:szCs w:val="20"/>
        </w:rPr>
      </w:pPr>
      <w:r w:rsidRPr="4C30C4F4">
        <w:rPr>
          <w:rFonts w:ascii="Arial" w:hAnsi="Arial" w:cs="Arial"/>
          <w:sz w:val="20"/>
          <w:szCs w:val="20"/>
        </w:rPr>
        <w:t>Contract performance and finance data is cleansed, centralised and accurate to allow strategic oversight.</w:t>
      </w:r>
    </w:p>
    <w:p w:rsidRPr="007B19D7" w:rsidR="3862397F" w:rsidP="3862397F" w:rsidRDefault="702ECF48" w14:paraId="3DA81295" w14:textId="37C30D0E">
      <w:pPr>
        <w:pStyle w:val="NoSpacing"/>
        <w:numPr>
          <w:ilvl w:val="0"/>
          <w:numId w:val="9"/>
        </w:numPr>
        <w:rPr>
          <w:rFonts w:ascii="Arial" w:hAnsi="Arial" w:cs="Arial"/>
          <w:sz w:val="20"/>
          <w:szCs w:val="20"/>
        </w:rPr>
      </w:pPr>
      <w:r w:rsidRPr="762D11A3">
        <w:rPr>
          <w:rFonts w:ascii="Arial" w:hAnsi="Arial" w:cs="Arial"/>
          <w:sz w:val="20"/>
          <w:szCs w:val="20"/>
        </w:rPr>
        <w:t xml:space="preserve">The new Procurement </w:t>
      </w:r>
      <w:r w:rsidRPr="762D11A3" w:rsidR="7FE10A00">
        <w:rPr>
          <w:rFonts w:ascii="Arial" w:hAnsi="Arial" w:cs="Arial"/>
          <w:sz w:val="20"/>
          <w:szCs w:val="20"/>
        </w:rPr>
        <w:t>Act</w:t>
      </w:r>
      <w:r w:rsidRPr="762D11A3">
        <w:rPr>
          <w:rFonts w:ascii="Arial" w:hAnsi="Arial" w:cs="Arial"/>
          <w:sz w:val="20"/>
          <w:szCs w:val="20"/>
        </w:rPr>
        <w:t xml:space="preserve"> 2023 requires specific contract performance data to be published, it is imperative that contracts are managed </w:t>
      </w:r>
      <w:bookmarkStart w:name="_Int_VPu1J2i4" w:id="0"/>
      <w:proofErr w:type="gramStart"/>
      <w:r w:rsidRPr="762D11A3">
        <w:rPr>
          <w:rFonts w:ascii="Arial" w:hAnsi="Arial" w:cs="Arial"/>
          <w:sz w:val="20"/>
          <w:szCs w:val="20"/>
        </w:rPr>
        <w:t>effectively</w:t>
      </w:r>
      <w:bookmarkEnd w:id="0"/>
      <w:proofErr w:type="gramEnd"/>
      <w:r w:rsidRPr="762D11A3">
        <w:rPr>
          <w:rFonts w:ascii="Arial" w:hAnsi="Arial" w:cs="Arial"/>
          <w:sz w:val="20"/>
          <w:szCs w:val="20"/>
        </w:rPr>
        <w:t xml:space="preserve"> and supplier data is transparent</w:t>
      </w:r>
      <w:r w:rsidRPr="762D11A3" w:rsidR="507AE9BD">
        <w:rPr>
          <w:rFonts w:ascii="Arial" w:hAnsi="Arial" w:cs="Arial"/>
          <w:sz w:val="20"/>
          <w:szCs w:val="20"/>
        </w:rPr>
        <w:t>.</w:t>
      </w:r>
    </w:p>
    <w:p w:rsidR="762D11A3" w:rsidP="762D11A3" w:rsidRDefault="762D11A3" w14:paraId="2B7CD9B9" w14:textId="7ACAAA0F">
      <w:pPr>
        <w:pStyle w:val="NoSpacing"/>
        <w:rPr>
          <w:rFonts w:ascii="Arial" w:hAnsi="Arial" w:cs="Arial"/>
          <w:sz w:val="20"/>
          <w:szCs w:val="20"/>
        </w:rPr>
      </w:pPr>
    </w:p>
    <w:p w:rsidR="003F3645" w:rsidP="003F3645" w:rsidRDefault="003F3645" w14:paraId="09ECE746" w14:textId="77777777">
      <w:pPr>
        <w:pStyle w:val="NoSpacing"/>
        <w:ind w:left="720"/>
        <w:rPr>
          <w:rFonts w:ascii="Arial" w:hAnsi="Arial" w:cs="Arial"/>
          <w:sz w:val="20"/>
          <w:szCs w:val="20"/>
        </w:rPr>
      </w:pPr>
    </w:p>
    <w:p w:rsidRPr="00035CB3" w:rsidR="003F3645" w:rsidP="00035CB3" w:rsidRDefault="53982055" w14:paraId="639EFE4C" w14:textId="29C02DEC">
      <w:pPr>
        <w:pStyle w:val="NoSpacing"/>
        <w:shd w:val="clear" w:color="auto" w:fill="7030A0"/>
        <w:rPr>
          <w:rFonts w:ascii="Arial" w:hAnsi="Arial" w:cs="Arial"/>
          <w:b/>
          <w:bCs/>
          <w:color w:val="FFFFFF" w:themeColor="background1"/>
          <w:sz w:val="20"/>
          <w:szCs w:val="20"/>
        </w:rPr>
      </w:pPr>
      <w:r w:rsidRPr="1C8BC47B">
        <w:rPr>
          <w:rFonts w:ascii="Arial" w:hAnsi="Arial" w:cs="Arial"/>
          <w:b/>
          <w:bCs/>
          <w:color w:val="FFFFFF" w:themeColor="background1"/>
          <w:sz w:val="20"/>
          <w:szCs w:val="20"/>
        </w:rPr>
        <w:t>Assessment of the Current Position</w:t>
      </w:r>
    </w:p>
    <w:p w:rsidR="0559F939" w:rsidP="7B3D8706" w:rsidRDefault="7A5F9069" w14:paraId="4C437A26" w14:textId="3D917AF8">
      <w:pPr>
        <w:pStyle w:val="NoSpacing"/>
        <w:numPr>
          <w:ilvl w:val="0"/>
          <w:numId w:val="10"/>
        </w:numPr>
        <w:rPr>
          <w:rFonts w:ascii="Arial" w:hAnsi="Arial" w:cs="Arial"/>
          <w:sz w:val="20"/>
          <w:szCs w:val="20"/>
        </w:rPr>
      </w:pPr>
      <w:r w:rsidRPr="4C30C4F4">
        <w:rPr>
          <w:rFonts w:ascii="Arial" w:hAnsi="Arial" w:cs="Arial"/>
          <w:sz w:val="20"/>
          <w:szCs w:val="20"/>
        </w:rPr>
        <w:t xml:space="preserve">The Council has recently reduced its identified off-contract expenditure by £56m through manual checking of transactions without a Due North </w:t>
      </w:r>
      <w:r w:rsidRPr="4C30C4F4" w:rsidR="1DB23DE9">
        <w:rPr>
          <w:rFonts w:ascii="Arial" w:hAnsi="Arial" w:cs="Arial"/>
          <w:sz w:val="20"/>
          <w:szCs w:val="20"/>
        </w:rPr>
        <w:t>reference</w:t>
      </w:r>
      <w:r w:rsidRPr="4C30C4F4">
        <w:rPr>
          <w:rFonts w:ascii="Arial" w:hAnsi="Arial" w:cs="Arial"/>
          <w:sz w:val="20"/>
          <w:szCs w:val="20"/>
        </w:rPr>
        <w:t xml:space="preserve">. This requires </w:t>
      </w:r>
      <w:r w:rsidRPr="4C30C4F4" w:rsidR="27B021E3">
        <w:rPr>
          <w:rFonts w:ascii="Arial" w:hAnsi="Arial" w:cs="Arial"/>
          <w:sz w:val="20"/>
          <w:szCs w:val="20"/>
        </w:rPr>
        <w:t>further</w:t>
      </w:r>
      <w:r w:rsidRPr="4C30C4F4">
        <w:rPr>
          <w:rFonts w:ascii="Arial" w:hAnsi="Arial" w:cs="Arial"/>
          <w:sz w:val="20"/>
          <w:szCs w:val="20"/>
        </w:rPr>
        <w:t xml:space="preserve"> work to identify the exact value of expenditure without DN refere</w:t>
      </w:r>
      <w:r w:rsidRPr="4C30C4F4" w:rsidR="3D994673">
        <w:rPr>
          <w:rFonts w:ascii="Arial" w:hAnsi="Arial" w:cs="Arial"/>
          <w:sz w:val="20"/>
          <w:szCs w:val="20"/>
        </w:rPr>
        <w:t>nces</w:t>
      </w:r>
      <w:r w:rsidRPr="4C30C4F4" w:rsidR="64482CC2">
        <w:rPr>
          <w:rFonts w:ascii="Arial" w:hAnsi="Arial" w:cs="Arial"/>
          <w:sz w:val="20"/>
          <w:szCs w:val="20"/>
        </w:rPr>
        <w:t>.</w:t>
      </w:r>
      <w:r w:rsidRPr="4C30C4F4" w:rsidR="366A462F">
        <w:rPr>
          <w:rFonts w:ascii="Arial" w:hAnsi="Arial" w:cs="Arial"/>
          <w:sz w:val="20"/>
          <w:szCs w:val="20"/>
        </w:rPr>
        <w:t xml:space="preserve"> </w:t>
      </w:r>
      <w:r w:rsidRPr="4C30C4F4" w:rsidR="652A45F7">
        <w:rPr>
          <w:rFonts w:ascii="Arial" w:hAnsi="Arial" w:cs="Arial"/>
          <w:sz w:val="20"/>
          <w:szCs w:val="20"/>
        </w:rPr>
        <w:t xml:space="preserve">Currently, and without further interrogation, the Council can state it has £118m of third party spend without contracts in place. This equates to </w:t>
      </w:r>
      <w:r w:rsidRPr="4C30C4F4" w:rsidR="69126D0F">
        <w:rPr>
          <w:rFonts w:ascii="Arial" w:hAnsi="Arial" w:cs="Arial"/>
          <w:sz w:val="20"/>
          <w:szCs w:val="20"/>
        </w:rPr>
        <w:t>48.3% of total third party spend.</w:t>
      </w:r>
    </w:p>
    <w:p w:rsidR="26509B73" w:rsidP="527BC9F2" w:rsidRDefault="4438AFC6" w14:paraId="3875DBD2" w14:textId="79DF8363">
      <w:pPr>
        <w:pStyle w:val="NoSpacing"/>
        <w:numPr>
          <w:ilvl w:val="0"/>
          <w:numId w:val="3"/>
        </w:numPr>
        <w:rPr>
          <w:rFonts w:ascii="Arial" w:hAnsi="Arial" w:cs="Arial"/>
          <w:sz w:val="20"/>
          <w:szCs w:val="20"/>
        </w:rPr>
      </w:pPr>
      <w:r w:rsidRPr="4C30C4F4">
        <w:rPr>
          <w:rFonts w:ascii="Arial" w:hAnsi="Arial" w:cs="Arial"/>
          <w:sz w:val="20"/>
          <w:szCs w:val="20"/>
        </w:rPr>
        <w:t xml:space="preserve">There are 2 Contract Management officers in Procurement to support the whole </w:t>
      </w:r>
      <w:r w:rsidRPr="4C30C4F4" w:rsidR="31526416">
        <w:rPr>
          <w:rFonts w:ascii="Arial" w:hAnsi="Arial" w:cs="Arial"/>
          <w:sz w:val="20"/>
          <w:szCs w:val="20"/>
        </w:rPr>
        <w:t>c</w:t>
      </w:r>
      <w:r w:rsidRPr="4C30C4F4">
        <w:rPr>
          <w:rFonts w:ascii="Arial" w:hAnsi="Arial" w:cs="Arial"/>
          <w:sz w:val="20"/>
          <w:szCs w:val="20"/>
        </w:rPr>
        <w:t>ouncil as-and-when</w:t>
      </w:r>
      <w:r w:rsidRPr="4C30C4F4" w:rsidR="67513B72">
        <w:rPr>
          <w:rFonts w:ascii="Arial" w:hAnsi="Arial" w:cs="Arial"/>
          <w:sz w:val="20"/>
          <w:szCs w:val="20"/>
        </w:rPr>
        <w:t xml:space="preserve"> required</w:t>
      </w:r>
      <w:r w:rsidRPr="4C30C4F4" w:rsidR="0B55ECF9">
        <w:rPr>
          <w:rFonts w:ascii="Arial" w:hAnsi="Arial" w:cs="Arial"/>
          <w:sz w:val="20"/>
          <w:szCs w:val="20"/>
        </w:rPr>
        <w:t xml:space="preserve">; this requires a review of this function as anecdotally </w:t>
      </w:r>
      <w:r w:rsidRPr="4C30C4F4" w:rsidR="1550B73B">
        <w:rPr>
          <w:rFonts w:ascii="Arial" w:hAnsi="Arial" w:cs="Arial"/>
          <w:sz w:val="20"/>
          <w:szCs w:val="20"/>
        </w:rPr>
        <w:t xml:space="preserve">it has been advised that they are not supporting the whole </w:t>
      </w:r>
      <w:r w:rsidRPr="4C30C4F4" w:rsidR="6FEB0AC4">
        <w:rPr>
          <w:rFonts w:ascii="Arial" w:hAnsi="Arial" w:cs="Arial"/>
          <w:sz w:val="20"/>
          <w:szCs w:val="20"/>
        </w:rPr>
        <w:t>c</w:t>
      </w:r>
      <w:r w:rsidRPr="4C30C4F4" w:rsidR="1550B73B">
        <w:rPr>
          <w:rFonts w:ascii="Arial" w:hAnsi="Arial" w:cs="Arial"/>
          <w:sz w:val="20"/>
          <w:szCs w:val="20"/>
        </w:rPr>
        <w:t xml:space="preserve">ouncil’s </w:t>
      </w:r>
      <w:r w:rsidRPr="4C30C4F4" w:rsidR="1E9AEC6A">
        <w:rPr>
          <w:rFonts w:ascii="Arial" w:hAnsi="Arial" w:cs="Arial"/>
          <w:sz w:val="20"/>
          <w:szCs w:val="20"/>
        </w:rPr>
        <w:t>C</w:t>
      </w:r>
      <w:r w:rsidRPr="4C30C4F4" w:rsidR="1550B73B">
        <w:rPr>
          <w:rFonts w:ascii="Arial" w:hAnsi="Arial" w:cs="Arial"/>
          <w:sz w:val="20"/>
          <w:szCs w:val="20"/>
        </w:rPr>
        <w:t xml:space="preserve">ontract </w:t>
      </w:r>
      <w:r w:rsidRPr="4C30C4F4" w:rsidR="56D93B37">
        <w:rPr>
          <w:rFonts w:ascii="Arial" w:hAnsi="Arial" w:cs="Arial"/>
          <w:sz w:val="20"/>
          <w:szCs w:val="20"/>
        </w:rPr>
        <w:t>M</w:t>
      </w:r>
      <w:r w:rsidRPr="4C30C4F4" w:rsidR="1550B73B">
        <w:rPr>
          <w:rFonts w:ascii="Arial" w:hAnsi="Arial" w:cs="Arial"/>
          <w:sz w:val="20"/>
          <w:szCs w:val="20"/>
        </w:rPr>
        <w:t xml:space="preserve">anagers in the way they were intended. </w:t>
      </w:r>
    </w:p>
    <w:p w:rsidR="4055F00D" w:rsidP="4C30C4F4" w:rsidRDefault="4055F00D" w14:paraId="5918FFDD" w14:textId="59B76B3F">
      <w:pPr>
        <w:pStyle w:val="NoSpacing"/>
        <w:numPr>
          <w:ilvl w:val="0"/>
          <w:numId w:val="3"/>
        </w:numPr>
        <w:rPr>
          <w:rFonts w:ascii="Arial" w:hAnsi="Arial" w:cs="Arial"/>
          <w:sz w:val="20"/>
          <w:szCs w:val="20"/>
        </w:rPr>
      </w:pPr>
      <w:r w:rsidRPr="4C30C4F4">
        <w:rPr>
          <w:rFonts w:ascii="Arial" w:hAnsi="Arial" w:cs="Arial"/>
          <w:sz w:val="20"/>
          <w:szCs w:val="20"/>
        </w:rPr>
        <w:t>Contract data is inconsistent and does not marry with spend reports making it difficult to analyse and interpret.</w:t>
      </w:r>
    </w:p>
    <w:p w:rsidR="26509B73" w:rsidP="527BC9F2" w:rsidRDefault="4438AFC6" w14:paraId="1415E7A3" w14:textId="5718A71A">
      <w:pPr>
        <w:pStyle w:val="NoSpacing"/>
        <w:numPr>
          <w:ilvl w:val="0"/>
          <w:numId w:val="3"/>
        </w:numPr>
        <w:rPr>
          <w:rFonts w:ascii="Arial" w:hAnsi="Arial" w:cs="Arial"/>
          <w:sz w:val="20"/>
          <w:szCs w:val="20"/>
        </w:rPr>
      </w:pPr>
      <w:r w:rsidRPr="4C30C4F4">
        <w:rPr>
          <w:rFonts w:ascii="Arial" w:hAnsi="Arial" w:cs="Arial"/>
          <w:sz w:val="20"/>
          <w:szCs w:val="20"/>
        </w:rPr>
        <w:t xml:space="preserve">Training is available for </w:t>
      </w:r>
      <w:r w:rsidRPr="4C30C4F4" w:rsidR="53FBF13A">
        <w:rPr>
          <w:rFonts w:ascii="Arial" w:hAnsi="Arial" w:cs="Arial"/>
          <w:sz w:val="20"/>
          <w:szCs w:val="20"/>
        </w:rPr>
        <w:t>C</w:t>
      </w:r>
      <w:r w:rsidRPr="4C30C4F4">
        <w:rPr>
          <w:rFonts w:ascii="Arial" w:hAnsi="Arial" w:cs="Arial"/>
          <w:sz w:val="20"/>
          <w:szCs w:val="20"/>
        </w:rPr>
        <w:t xml:space="preserve">ontract </w:t>
      </w:r>
      <w:r w:rsidRPr="4C30C4F4" w:rsidR="4ECAE76E">
        <w:rPr>
          <w:rFonts w:ascii="Arial" w:hAnsi="Arial" w:cs="Arial"/>
          <w:sz w:val="20"/>
          <w:szCs w:val="20"/>
        </w:rPr>
        <w:t>M</w:t>
      </w:r>
      <w:r w:rsidRPr="4C30C4F4">
        <w:rPr>
          <w:rFonts w:ascii="Arial" w:hAnsi="Arial" w:cs="Arial"/>
          <w:sz w:val="20"/>
          <w:szCs w:val="20"/>
        </w:rPr>
        <w:t>anagers</w:t>
      </w:r>
      <w:r w:rsidRPr="4C30C4F4" w:rsidR="4D0CF688">
        <w:rPr>
          <w:rFonts w:ascii="Arial" w:hAnsi="Arial" w:cs="Arial"/>
          <w:sz w:val="20"/>
          <w:szCs w:val="20"/>
        </w:rPr>
        <w:t xml:space="preserve"> </w:t>
      </w:r>
      <w:r w:rsidRPr="4C30C4F4">
        <w:rPr>
          <w:rFonts w:ascii="Arial" w:hAnsi="Arial" w:cs="Arial"/>
          <w:sz w:val="20"/>
          <w:szCs w:val="20"/>
        </w:rPr>
        <w:t xml:space="preserve">- </w:t>
      </w:r>
      <w:r w:rsidRPr="4C30C4F4" w:rsidR="675AFD84">
        <w:rPr>
          <w:rFonts w:ascii="Arial" w:hAnsi="Arial" w:cs="Arial"/>
          <w:sz w:val="20"/>
          <w:szCs w:val="20"/>
        </w:rPr>
        <w:t>an evidence-based approach needs to consider the take-up and application of the training to determine its effectiveness.</w:t>
      </w:r>
    </w:p>
    <w:p w:rsidR="26509B73" w:rsidP="527BC9F2" w:rsidRDefault="4438AFC6" w14:paraId="51764825" w14:textId="245D7C89">
      <w:pPr>
        <w:pStyle w:val="NoSpacing"/>
        <w:numPr>
          <w:ilvl w:val="0"/>
          <w:numId w:val="3"/>
        </w:numPr>
        <w:rPr>
          <w:rFonts w:ascii="Arial" w:hAnsi="Arial" w:cs="Arial"/>
          <w:sz w:val="20"/>
          <w:szCs w:val="20"/>
        </w:rPr>
      </w:pPr>
      <w:r w:rsidRPr="4C30C4F4">
        <w:rPr>
          <w:rFonts w:ascii="Arial" w:hAnsi="Arial" w:cs="Arial"/>
          <w:sz w:val="20"/>
          <w:szCs w:val="20"/>
        </w:rPr>
        <w:t xml:space="preserve">Concerns </w:t>
      </w:r>
      <w:r w:rsidRPr="4C30C4F4" w:rsidR="039E4AD8">
        <w:rPr>
          <w:rFonts w:ascii="Arial" w:hAnsi="Arial" w:cs="Arial"/>
          <w:sz w:val="20"/>
          <w:szCs w:val="20"/>
        </w:rPr>
        <w:t xml:space="preserve">have been raised by </w:t>
      </w:r>
      <w:proofErr w:type="gramStart"/>
      <w:r w:rsidRPr="4C30C4F4" w:rsidR="039E4AD8">
        <w:rPr>
          <w:rFonts w:ascii="Arial" w:hAnsi="Arial" w:cs="Arial"/>
          <w:sz w:val="20"/>
          <w:szCs w:val="20"/>
        </w:rPr>
        <w:t>a number of</w:t>
      </w:r>
      <w:proofErr w:type="gramEnd"/>
      <w:r w:rsidRPr="4C30C4F4" w:rsidR="039E4AD8">
        <w:rPr>
          <w:rFonts w:ascii="Arial" w:hAnsi="Arial" w:cs="Arial"/>
          <w:sz w:val="20"/>
          <w:szCs w:val="20"/>
        </w:rPr>
        <w:t xml:space="preserve"> staff about Contract M</w:t>
      </w:r>
      <w:r w:rsidRPr="4C30C4F4" w:rsidR="737B574C">
        <w:rPr>
          <w:rFonts w:ascii="Arial" w:hAnsi="Arial" w:cs="Arial"/>
          <w:sz w:val="20"/>
          <w:szCs w:val="20"/>
        </w:rPr>
        <w:t>a</w:t>
      </w:r>
      <w:r w:rsidRPr="4C30C4F4" w:rsidR="039E4AD8">
        <w:rPr>
          <w:rFonts w:ascii="Arial" w:hAnsi="Arial" w:cs="Arial"/>
          <w:sz w:val="20"/>
          <w:szCs w:val="20"/>
        </w:rPr>
        <w:t>nagement</w:t>
      </w:r>
      <w:r w:rsidRPr="4C30C4F4">
        <w:rPr>
          <w:rFonts w:ascii="Arial" w:hAnsi="Arial" w:cs="Arial"/>
          <w:sz w:val="20"/>
          <w:szCs w:val="20"/>
        </w:rPr>
        <w:t xml:space="preserve"> being part of </w:t>
      </w:r>
      <w:r w:rsidRPr="4C30C4F4" w:rsidR="1D3E80F0">
        <w:rPr>
          <w:rFonts w:ascii="Arial" w:hAnsi="Arial" w:cs="Arial"/>
          <w:sz w:val="20"/>
          <w:szCs w:val="20"/>
        </w:rPr>
        <w:t xml:space="preserve">their </w:t>
      </w:r>
      <w:r w:rsidRPr="4C30C4F4">
        <w:rPr>
          <w:rFonts w:ascii="Arial" w:hAnsi="Arial" w:cs="Arial"/>
          <w:sz w:val="20"/>
          <w:szCs w:val="20"/>
        </w:rPr>
        <w:t>day job</w:t>
      </w:r>
      <w:r w:rsidRPr="4C30C4F4" w:rsidR="15BF7FE5">
        <w:rPr>
          <w:rFonts w:ascii="Arial" w:hAnsi="Arial" w:cs="Arial"/>
          <w:sz w:val="20"/>
          <w:szCs w:val="20"/>
        </w:rPr>
        <w:t>;</w:t>
      </w:r>
      <w:r w:rsidRPr="4C30C4F4" w:rsidR="766D7F64">
        <w:rPr>
          <w:rFonts w:ascii="Arial" w:hAnsi="Arial" w:cs="Arial"/>
          <w:sz w:val="20"/>
          <w:szCs w:val="20"/>
        </w:rPr>
        <w:t xml:space="preserve"> the </w:t>
      </w:r>
      <w:r w:rsidRPr="4C30C4F4" w:rsidR="7D855F94">
        <w:rPr>
          <w:rFonts w:ascii="Arial" w:hAnsi="Arial" w:cs="Arial"/>
          <w:sz w:val="20"/>
          <w:szCs w:val="20"/>
        </w:rPr>
        <w:t>c</w:t>
      </w:r>
      <w:r w:rsidRPr="4C30C4F4" w:rsidR="766D7F64">
        <w:rPr>
          <w:rFonts w:ascii="Arial" w:hAnsi="Arial" w:cs="Arial"/>
          <w:sz w:val="20"/>
          <w:szCs w:val="20"/>
        </w:rPr>
        <w:t xml:space="preserve">ouncil needs to determine if this </w:t>
      </w:r>
      <w:r w:rsidRPr="4C30C4F4" w:rsidR="7349C1AD">
        <w:rPr>
          <w:rFonts w:ascii="Arial" w:hAnsi="Arial" w:cs="Arial"/>
          <w:sz w:val="20"/>
          <w:szCs w:val="20"/>
        </w:rPr>
        <w:t>is a resource, competence or shirking of responsibility issue to identify a best way forward</w:t>
      </w:r>
      <w:r w:rsidR="002266F7">
        <w:rPr>
          <w:rFonts w:ascii="Arial" w:hAnsi="Arial" w:cs="Arial"/>
          <w:sz w:val="20"/>
          <w:szCs w:val="20"/>
        </w:rPr>
        <w:t xml:space="preserve"> and</w:t>
      </w:r>
      <w:r w:rsidRPr="4C30C4F4" w:rsidR="7349C1AD">
        <w:rPr>
          <w:rFonts w:ascii="Arial" w:hAnsi="Arial" w:cs="Arial"/>
          <w:sz w:val="20"/>
          <w:szCs w:val="20"/>
        </w:rPr>
        <w:t xml:space="preserve"> to ensure every £1 leaving Luton and going to a supplier is managed effectively and the best value for money is levered from suppliers.</w:t>
      </w:r>
    </w:p>
    <w:p w:rsidR="153C42E4" w:rsidP="1C8BC47B" w:rsidRDefault="153C42E4" w14:paraId="3D78B7A5" w14:textId="7FD39465">
      <w:pPr>
        <w:pStyle w:val="NoSpacing"/>
        <w:numPr>
          <w:ilvl w:val="0"/>
          <w:numId w:val="3"/>
        </w:numPr>
        <w:rPr>
          <w:rFonts w:ascii="Arial" w:hAnsi="Arial" w:cs="Arial"/>
          <w:sz w:val="20"/>
          <w:szCs w:val="20"/>
        </w:rPr>
      </w:pPr>
      <w:r w:rsidRPr="4C30C4F4">
        <w:rPr>
          <w:rFonts w:ascii="Arial" w:hAnsi="Arial" w:cs="Arial"/>
          <w:sz w:val="20"/>
          <w:szCs w:val="20"/>
        </w:rPr>
        <w:t>Additional savings on P-card expenditure may be achievable</w:t>
      </w:r>
      <w:r w:rsidR="002266F7">
        <w:rPr>
          <w:rFonts w:ascii="Arial" w:hAnsi="Arial" w:cs="Arial"/>
          <w:sz w:val="20"/>
          <w:szCs w:val="20"/>
        </w:rPr>
        <w:t>;</w:t>
      </w:r>
      <w:r w:rsidRPr="4C30C4F4">
        <w:rPr>
          <w:rFonts w:ascii="Arial" w:hAnsi="Arial" w:cs="Arial"/>
          <w:sz w:val="20"/>
          <w:szCs w:val="20"/>
        </w:rPr>
        <w:t xml:space="preserve"> 22/23 spend totalled £448,649</w:t>
      </w:r>
      <w:r w:rsidRPr="4C30C4F4" w:rsidR="459A23F8">
        <w:rPr>
          <w:rFonts w:ascii="Arial" w:hAnsi="Arial" w:cs="Arial"/>
          <w:sz w:val="20"/>
          <w:szCs w:val="20"/>
        </w:rPr>
        <w:t xml:space="preserve"> but as this is not contracted expenditure</w:t>
      </w:r>
      <w:r w:rsidRPr="4C30C4F4" w:rsidR="44ADDC4F">
        <w:rPr>
          <w:rFonts w:ascii="Arial" w:hAnsi="Arial" w:cs="Arial"/>
          <w:sz w:val="20"/>
          <w:szCs w:val="20"/>
        </w:rPr>
        <w:t>,</w:t>
      </w:r>
      <w:r w:rsidRPr="4C30C4F4" w:rsidR="459A23F8">
        <w:rPr>
          <w:rFonts w:ascii="Arial" w:hAnsi="Arial" w:cs="Arial"/>
          <w:sz w:val="20"/>
          <w:szCs w:val="20"/>
        </w:rPr>
        <w:t xml:space="preserve"> further work will need to be undertaken to analyse and identify savings through use of contracts for expenditure that should not be using P-cards.</w:t>
      </w:r>
    </w:p>
    <w:p w:rsidR="5C91289F" w:rsidP="4C30C4F4" w:rsidRDefault="5C91289F" w14:paraId="7F2EBFC8" w14:textId="4EB0D39D">
      <w:pPr>
        <w:pStyle w:val="NoSpacing"/>
        <w:numPr>
          <w:ilvl w:val="0"/>
          <w:numId w:val="3"/>
        </w:numPr>
        <w:rPr>
          <w:rFonts w:ascii="Arial" w:hAnsi="Arial" w:cs="Arial"/>
          <w:sz w:val="20"/>
          <w:szCs w:val="20"/>
        </w:rPr>
      </w:pPr>
      <w:r w:rsidRPr="4C30C4F4">
        <w:rPr>
          <w:rFonts w:ascii="Arial" w:hAnsi="Arial" w:cs="Arial"/>
          <w:sz w:val="20"/>
          <w:szCs w:val="20"/>
        </w:rPr>
        <w:t>Expenditure is not categorised with a category management approach which does not allow for effective spend analysis</w:t>
      </w:r>
      <w:r w:rsidR="00504875">
        <w:rPr>
          <w:rFonts w:ascii="Arial" w:hAnsi="Arial" w:cs="Arial"/>
          <w:sz w:val="20"/>
          <w:szCs w:val="20"/>
        </w:rPr>
        <w:t>.</w:t>
      </w:r>
      <w:r w:rsidRPr="4C30C4F4">
        <w:rPr>
          <w:rFonts w:ascii="Arial" w:hAnsi="Arial" w:cs="Arial"/>
          <w:sz w:val="20"/>
          <w:szCs w:val="20"/>
        </w:rPr>
        <w:t xml:space="preserve"> </w:t>
      </w:r>
    </w:p>
    <w:p w:rsidR="00C8194B" w:rsidP="00C8194B" w:rsidRDefault="00C8194B" w14:paraId="0AA5163D" w14:textId="77777777">
      <w:pPr>
        <w:pStyle w:val="NoSpacing"/>
        <w:rPr>
          <w:rFonts w:ascii="Arial" w:hAnsi="Arial" w:cs="Arial"/>
          <w:sz w:val="20"/>
          <w:szCs w:val="20"/>
        </w:rPr>
      </w:pPr>
    </w:p>
    <w:p w:rsidRPr="00035CB3" w:rsidR="00C8194B" w:rsidP="00C8194B" w:rsidRDefault="00C8194B" w14:paraId="1F6EBC4D" w14:textId="53D6A75A">
      <w:pPr>
        <w:pStyle w:val="NoSpacing"/>
        <w:shd w:val="clear" w:color="auto" w:fill="7030A0"/>
        <w:rPr>
          <w:rFonts w:ascii="Arial" w:hAnsi="Arial" w:cs="Arial"/>
          <w:b/>
          <w:bCs/>
          <w:color w:val="FFFFFF" w:themeColor="background1"/>
          <w:sz w:val="20"/>
          <w:szCs w:val="20"/>
        </w:rPr>
      </w:pPr>
      <w:r>
        <w:rPr>
          <w:rFonts w:ascii="Arial" w:hAnsi="Arial" w:cs="Arial"/>
          <w:b/>
          <w:bCs/>
          <w:color w:val="FFFFFF" w:themeColor="background1"/>
          <w:sz w:val="20"/>
          <w:szCs w:val="20"/>
        </w:rPr>
        <w:t>Proposed Changes</w:t>
      </w:r>
    </w:p>
    <w:p w:rsidR="00C8194B" w:rsidP="714252C5" w:rsidRDefault="00C8194B" w14:paraId="05AB368D" w14:textId="42D3D69D">
      <w:pPr>
        <w:pStyle w:val="ListParagraph"/>
        <w:ind w:left="0"/>
        <w:rPr>
          <w:rFonts w:ascii="Arial" w:hAnsi="Arial" w:cs="Arial"/>
          <w:sz w:val="20"/>
          <w:szCs w:val="20"/>
        </w:rPr>
      </w:pPr>
    </w:p>
    <w:p w:rsidR="55AF8BED" w:rsidP="4C30C4F4" w:rsidRDefault="55AF8BED" w14:paraId="6EDF9FEF" w14:textId="55E342B4">
      <w:pPr>
        <w:pStyle w:val="ListParagraph"/>
        <w:ind w:left="0"/>
        <w:rPr>
          <w:rFonts w:ascii="Arial" w:hAnsi="Arial" w:cs="Arial"/>
          <w:b/>
          <w:bCs/>
          <w:sz w:val="20"/>
          <w:szCs w:val="20"/>
        </w:rPr>
      </w:pPr>
      <w:r w:rsidRPr="4C30C4F4">
        <w:rPr>
          <w:rFonts w:ascii="Arial" w:hAnsi="Arial" w:cs="Arial"/>
          <w:b/>
          <w:bCs/>
          <w:sz w:val="20"/>
          <w:szCs w:val="20"/>
        </w:rPr>
        <w:t>Third Party Spend Analysis</w:t>
      </w:r>
    </w:p>
    <w:p w:rsidR="4C30C4F4" w:rsidP="4C30C4F4" w:rsidRDefault="4C30C4F4" w14:paraId="46CEDAAD" w14:textId="15F462AA">
      <w:pPr>
        <w:pStyle w:val="ListParagraph"/>
        <w:ind w:left="0"/>
        <w:rPr>
          <w:rFonts w:ascii="Arial" w:hAnsi="Arial" w:cs="Arial"/>
          <w:b/>
          <w:bCs/>
          <w:sz w:val="20"/>
          <w:szCs w:val="20"/>
        </w:rPr>
      </w:pPr>
    </w:p>
    <w:p w:rsidR="1AC45A1A" w:rsidP="4C30C4F4" w:rsidRDefault="1AC45A1A" w14:paraId="02F769EB" w14:textId="4731698F">
      <w:pPr>
        <w:pStyle w:val="ListParagraph"/>
        <w:ind w:left="0"/>
        <w:rPr>
          <w:rFonts w:ascii="Arial" w:hAnsi="Arial" w:cs="Arial"/>
          <w:b/>
          <w:bCs/>
          <w:sz w:val="20"/>
          <w:szCs w:val="20"/>
        </w:rPr>
      </w:pPr>
      <w:r w:rsidRPr="4C30C4F4">
        <w:rPr>
          <w:rFonts w:ascii="Arial" w:hAnsi="Arial" w:cs="Arial"/>
          <w:sz w:val="20"/>
          <w:szCs w:val="20"/>
        </w:rPr>
        <w:t>To determine the scale of the opportunity we have used third party spend data using only</w:t>
      </w:r>
      <w:r w:rsidRPr="4C30C4F4" w:rsidR="2380C98F">
        <w:rPr>
          <w:rFonts w:ascii="Arial" w:hAnsi="Arial" w:cs="Arial"/>
          <w:sz w:val="20"/>
          <w:szCs w:val="20"/>
        </w:rPr>
        <w:t xml:space="preserve"> general fund expenditure</w:t>
      </w:r>
      <w:r w:rsidRPr="4C30C4F4" w:rsidR="7D513471">
        <w:rPr>
          <w:rFonts w:ascii="Arial" w:hAnsi="Arial" w:cs="Arial"/>
          <w:sz w:val="20"/>
          <w:szCs w:val="20"/>
        </w:rPr>
        <w:t>. T</w:t>
      </w:r>
      <w:r w:rsidRPr="4C30C4F4" w:rsidR="2380C98F">
        <w:rPr>
          <w:rFonts w:ascii="Arial" w:hAnsi="Arial" w:cs="Arial"/>
          <w:sz w:val="20"/>
          <w:szCs w:val="20"/>
        </w:rPr>
        <w:t>here are 2026 suppliers delivering services totalling in value to £164m</w:t>
      </w:r>
      <w:r w:rsidRPr="4C30C4F4" w:rsidR="6132B3F4">
        <w:rPr>
          <w:rFonts w:ascii="Arial" w:hAnsi="Arial" w:cs="Arial"/>
          <w:sz w:val="20"/>
          <w:szCs w:val="20"/>
        </w:rPr>
        <w:t>.</w:t>
      </w:r>
    </w:p>
    <w:p w:rsidR="4C30C4F4" w:rsidP="4C30C4F4" w:rsidRDefault="4C30C4F4" w14:paraId="4D69427B" w14:textId="0BD3E962">
      <w:pPr>
        <w:pStyle w:val="ListParagraph"/>
        <w:ind w:left="0"/>
        <w:rPr>
          <w:rFonts w:ascii="Arial" w:hAnsi="Arial" w:cs="Arial"/>
          <w:sz w:val="20"/>
          <w:szCs w:val="20"/>
        </w:rPr>
      </w:pPr>
    </w:p>
    <w:p w:rsidR="170A456A" w:rsidP="4C30C4F4" w:rsidRDefault="170A456A" w14:paraId="089C2F79" w14:textId="5EC207D3">
      <w:pPr>
        <w:pStyle w:val="ListParagraph"/>
        <w:ind w:left="0"/>
        <w:rPr>
          <w:rFonts w:ascii="Arial" w:hAnsi="Arial" w:cs="Arial"/>
          <w:sz w:val="20"/>
          <w:szCs w:val="20"/>
        </w:rPr>
      </w:pPr>
      <w:r w:rsidRPr="4C30C4F4">
        <w:rPr>
          <w:rFonts w:ascii="Arial" w:hAnsi="Arial" w:cs="Arial"/>
          <w:sz w:val="20"/>
          <w:szCs w:val="20"/>
        </w:rPr>
        <w:t xml:space="preserve">The current contract register does not account for funding sources, so the accessible data to provide evidence for the proposed changes is derived from a </w:t>
      </w:r>
      <w:r w:rsidRPr="4C30C4F4" w:rsidR="7E587BA2">
        <w:rPr>
          <w:rFonts w:ascii="Arial" w:hAnsi="Arial" w:cs="Arial"/>
          <w:sz w:val="20"/>
          <w:szCs w:val="20"/>
        </w:rPr>
        <w:t xml:space="preserve">Finance </w:t>
      </w:r>
      <w:r w:rsidRPr="4C30C4F4">
        <w:rPr>
          <w:rFonts w:ascii="Arial" w:hAnsi="Arial" w:cs="Arial"/>
          <w:sz w:val="20"/>
          <w:szCs w:val="20"/>
        </w:rPr>
        <w:t xml:space="preserve">spend report. </w:t>
      </w:r>
    </w:p>
    <w:p w:rsidR="4C30C4F4" w:rsidP="4C30C4F4" w:rsidRDefault="4C30C4F4" w14:paraId="37E9D0B3" w14:textId="1795CE9C">
      <w:pPr>
        <w:pStyle w:val="ListParagraph"/>
        <w:ind w:left="0"/>
        <w:rPr>
          <w:rFonts w:ascii="Arial" w:hAnsi="Arial" w:cs="Arial"/>
          <w:sz w:val="20"/>
          <w:szCs w:val="20"/>
        </w:rPr>
      </w:pPr>
    </w:p>
    <w:p w:rsidR="170A456A" w:rsidP="4C30C4F4" w:rsidRDefault="170A456A" w14:paraId="7B43808A" w14:textId="172F221E">
      <w:pPr>
        <w:pStyle w:val="ListParagraph"/>
        <w:ind w:left="0"/>
        <w:rPr>
          <w:rFonts w:ascii="Arial" w:hAnsi="Arial" w:cs="Arial"/>
          <w:sz w:val="20"/>
          <w:szCs w:val="20"/>
        </w:rPr>
      </w:pPr>
      <w:r w:rsidRPr="4C30C4F4">
        <w:rPr>
          <w:rFonts w:ascii="Arial" w:hAnsi="Arial" w:cs="Arial"/>
          <w:sz w:val="20"/>
          <w:szCs w:val="20"/>
        </w:rPr>
        <w:t xml:space="preserve">It would be prudent to develop a singular data source which captures both the contracts register and spend in one place, thus allowing comprehensive analysis to be conducted </w:t>
      </w:r>
      <w:r w:rsidR="00203DFB">
        <w:rPr>
          <w:rFonts w:ascii="Arial" w:hAnsi="Arial" w:cs="Arial"/>
          <w:sz w:val="20"/>
          <w:szCs w:val="20"/>
        </w:rPr>
        <w:t>and giving the</w:t>
      </w:r>
      <w:r w:rsidRPr="4C30C4F4">
        <w:rPr>
          <w:rFonts w:ascii="Arial" w:hAnsi="Arial" w:cs="Arial"/>
          <w:sz w:val="20"/>
          <w:szCs w:val="20"/>
        </w:rPr>
        <w:t xml:space="preserve"> Council </w:t>
      </w:r>
      <w:r w:rsidRPr="4C30C4F4" w:rsidR="34FA6CD6">
        <w:rPr>
          <w:rFonts w:ascii="Arial" w:hAnsi="Arial" w:cs="Arial"/>
          <w:sz w:val="20"/>
          <w:szCs w:val="20"/>
        </w:rPr>
        <w:t xml:space="preserve">a strategic single version of the truth. </w:t>
      </w:r>
    </w:p>
    <w:p w:rsidR="4C30C4F4" w:rsidP="4C30C4F4" w:rsidRDefault="4C30C4F4" w14:paraId="2922F474" w14:textId="6C331993">
      <w:pPr>
        <w:pStyle w:val="ListParagraph"/>
        <w:ind w:left="0"/>
        <w:rPr>
          <w:rFonts w:ascii="Arial" w:hAnsi="Arial" w:cs="Arial"/>
          <w:sz w:val="20"/>
          <w:szCs w:val="20"/>
        </w:rPr>
      </w:pPr>
    </w:p>
    <w:p w:rsidR="2ABB8A0E" w:rsidP="4C30C4F4" w:rsidRDefault="2ABB8A0E" w14:paraId="79AECF4C" w14:textId="7643CC68">
      <w:pPr>
        <w:pStyle w:val="ListParagraph"/>
        <w:ind w:left="0"/>
        <w:rPr>
          <w:rFonts w:ascii="Arial" w:hAnsi="Arial" w:cs="Arial"/>
          <w:sz w:val="20"/>
          <w:szCs w:val="20"/>
        </w:rPr>
      </w:pPr>
      <w:r w:rsidRPr="4C30C4F4">
        <w:rPr>
          <w:rFonts w:ascii="Arial" w:hAnsi="Arial" w:cs="Arial"/>
          <w:sz w:val="20"/>
          <w:szCs w:val="20"/>
        </w:rPr>
        <w:t>We are also aware of contract set-up on Finance systems</w:t>
      </w:r>
      <w:r w:rsidRPr="4C30C4F4" w:rsidR="2A87E293">
        <w:rPr>
          <w:rFonts w:ascii="Arial" w:hAnsi="Arial" w:cs="Arial"/>
          <w:sz w:val="20"/>
          <w:szCs w:val="20"/>
        </w:rPr>
        <w:t xml:space="preserve"> </w:t>
      </w:r>
      <w:r w:rsidR="00562F7B">
        <w:rPr>
          <w:rFonts w:ascii="Arial" w:hAnsi="Arial" w:cs="Arial"/>
          <w:sz w:val="20"/>
          <w:szCs w:val="20"/>
        </w:rPr>
        <w:t xml:space="preserve">that </w:t>
      </w:r>
      <w:r w:rsidRPr="4C30C4F4" w:rsidR="2A87E293">
        <w:rPr>
          <w:rFonts w:ascii="Arial" w:hAnsi="Arial" w:cs="Arial"/>
          <w:sz w:val="20"/>
          <w:szCs w:val="20"/>
        </w:rPr>
        <w:t>do</w:t>
      </w:r>
      <w:r w:rsidRPr="4C30C4F4">
        <w:rPr>
          <w:rFonts w:ascii="Arial" w:hAnsi="Arial" w:cs="Arial"/>
          <w:sz w:val="20"/>
          <w:szCs w:val="20"/>
        </w:rPr>
        <w:t xml:space="preserve"> not equat</w:t>
      </w:r>
      <w:r w:rsidRPr="4C30C4F4" w:rsidR="0F7C935A">
        <w:rPr>
          <w:rFonts w:ascii="Arial" w:hAnsi="Arial" w:cs="Arial"/>
          <w:sz w:val="20"/>
          <w:szCs w:val="20"/>
        </w:rPr>
        <w:t>e</w:t>
      </w:r>
      <w:r w:rsidRPr="4C30C4F4">
        <w:rPr>
          <w:rFonts w:ascii="Arial" w:hAnsi="Arial" w:cs="Arial"/>
          <w:sz w:val="20"/>
          <w:szCs w:val="20"/>
        </w:rPr>
        <w:t xml:space="preserve"> to data held within the contract register; this results in incomparable data, spend tracking issues and an inability to </w:t>
      </w:r>
      <w:r w:rsidRPr="4C30C4F4" w:rsidR="000D7D5A">
        <w:rPr>
          <w:rFonts w:ascii="Arial" w:hAnsi="Arial" w:cs="Arial"/>
          <w:sz w:val="20"/>
          <w:szCs w:val="20"/>
        </w:rPr>
        <w:t xml:space="preserve">identify parent companies </w:t>
      </w:r>
      <w:proofErr w:type="gramStart"/>
      <w:r w:rsidR="00EC2165">
        <w:rPr>
          <w:rFonts w:ascii="Arial" w:hAnsi="Arial" w:cs="Arial"/>
          <w:sz w:val="20"/>
          <w:szCs w:val="20"/>
        </w:rPr>
        <w:t>i</w:t>
      </w:r>
      <w:r w:rsidRPr="4C30C4F4" w:rsidR="000D7D5A">
        <w:rPr>
          <w:rFonts w:ascii="Arial" w:hAnsi="Arial" w:cs="Arial"/>
          <w:sz w:val="20"/>
          <w:szCs w:val="20"/>
        </w:rPr>
        <w:t>.e.</w:t>
      </w:r>
      <w:proofErr w:type="gramEnd"/>
      <w:r w:rsidRPr="4C30C4F4" w:rsidR="000D7D5A">
        <w:rPr>
          <w:rFonts w:ascii="Arial" w:hAnsi="Arial" w:cs="Arial"/>
          <w:sz w:val="20"/>
          <w:szCs w:val="20"/>
        </w:rPr>
        <w:t xml:space="preserve"> HC One has multiple contracts of spend under different limited companies within the spend report, however they only have one listing on the contract register.</w:t>
      </w:r>
    </w:p>
    <w:p w:rsidR="4C30C4F4" w:rsidP="4C30C4F4" w:rsidRDefault="4C30C4F4" w14:paraId="6CCF309B" w14:textId="2F3B70DE">
      <w:pPr>
        <w:pStyle w:val="ListParagraph"/>
        <w:ind w:left="0"/>
        <w:rPr>
          <w:rFonts w:ascii="Arial" w:hAnsi="Arial" w:cs="Arial"/>
          <w:sz w:val="20"/>
          <w:szCs w:val="20"/>
        </w:rPr>
      </w:pPr>
    </w:p>
    <w:p w:rsidR="6132B3F4" w:rsidP="4C30C4F4" w:rsidRDefault="6132B3F4" w14:paraId="7983BC18" w14:textId="10E9A8F0">
      <w:pPr>
        <w:pStyle w:val="ListParagraph"/>
        <w:ind w:left="0"/>
        <w:rPr>
          <w:rFonts w:ascii="Arial" w:hAnsi="Arial" w:cs="Arial"/>
          <w:sz w:val="20"/>
          <w:szCs w:val="20"/>
        </w:rPr>
      </w:pPr>
      <w:r w:rsidRPr="4C30C4F4">
        <w:rPr>
          <w:rFonts w:ascii="Arial" w:hAnsi="Arial" w:cs="Arial"/>
          <w:sz w:val="20"/>
          <w:szCs w:val="20"/>
        </w:rPr>
        <w:t>This expenditure is distributed by departments as follows:</w:t>
      </w:r>
    </w:p>
    <w:p w:rsidR="4C30C4F4" w:rsidP="4C30C4F4" w:rsidRDefault="4C30C4F4" w14:paraId="60C0FC3C" w14:textId="59EB0B15">
      <w:pPr>
        <w:pStyle w:val="ListParagraph"/>
        <w:ind w:left="0"/>
        <w:rPr>
          <w:rFonts w:ascii="Arial" w:hAnsi="Arial" w:cs="Arial"/>
          <w:sz w:val="20"/>
          <w:szCs w:val="20"/>
        </w:rPr>
      </w:pPr>
    </w:p>
    <w:tbl>
      <w:tblPr>
        <w:tblW w:w="0" w:type="auto"/>
        <w:tblLayout w:type="fixed"/>
        <w:tblLook w:val="06A0" w:firstRow="1" w:lastRow="0" w:firstColumn="1" w:lastColumn="0" w:noHBand="1" w:noVBand="1"/>
      </w:tblPr>
      <w:tblGrid>
        <w:gridCol w:w="5304"/>
        <w:gridCol w:w="1856"/>
        <w:gridCol w:w="1856"/>
      </w:tblGrid>
      <w:tr w:rsidR="4C30C4F4" w:rsidTr="4C30C4F4" w14:paraId="4207733B" w14:textId="77777777">
        <w:trPr>
          <w:trHeight w:val="300"/>
        </w:trPr>
        <w:tc>
          <w:tcPr>
            <w:tcW w:w="5304" w:type="dxa"/>
            <w:tcBorders>
              <w:top w:val="nil"/>
              <w:left w:val="nil"/>
              <w:bottom w:val="nil"/>
              <w:right w:val="nil"/>
            </w:tcBorders>
            <w:tcMar>
              <w:top w:w="15" w:type="dxa"/>
              <w:left w:w="15" w:type="dxa"/>
              <w:right w:w="15" w:type="dxa"/>
            </w:tcMar>
            <w:vAlign w:val="bottom"/>
          </w:tcPr>
          <w:p w:rsidR="4C30C4F4" w:rsidP="4C30C4F4" w:rsidRDefault="4C30C4F4" w14:paraId="1418D4C6" w14:textId="133DAF11">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Chief Executive</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6D3E6141" w14:textId="02D5B5CB">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3,336,322</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4CC6CFC8" w14:textId="7112176D">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2%</w:t>
            </w:r>
          </w:p>
        </w:tc>
      </w:tr>
      <w:tr w:rsidR="4C30C4F4" w:rsidTr="4C30C4F4" w14:paraId="1E5EFC2E" w14:textId="77777777">
        <w:trPr>
          <w:trHeight w:val="300"/>
        </w:trPr>
        <w:tc>
          <w:tcPr>
            <w:tcW w:w="5304" w:type="dxa"/>
            <w:tcBorders>
              <w:top w:val="nil"/>
              <w:left w:val="nil"/>
              <w:bottom w:val="nil"/>
              <w:right w:val="nil"/>
            </w:tcBorders>
            <w:tcMar>
              <w:top w:w="15" w:type="dxa"/>
              <w:left w:w="15" w:type="dxa"/>
              <w:right w:w="15" w:type="dxa"/>
            </w:tcMar>
            <w:vAlign w:val="bottom"/>
          </w:tcPr>
          <w:p w:rsidR="4C30C4F4" w:rsidP="4C30C4F4" w:rsidRDefault="4C30C4F4" w14:paraId="6E1012C7" w14:textId="166B922A">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Children Families and Education Services</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7E8B908C" w14:textId="06703F62">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16,685,420</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3F451D70" w14:textId="2CDCA6AA">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10%</w:t>
            </w:r>
          </w:p>
        </w:tc>
      </w:tr>
      <w:tr w:rsidR="4C30C4F4" w:rsidTr="4C30C4F4" w14:paraId="2A8AD5EE" w14:textId="77777777">
        <w:trPr>
          <w:trHeight w:val="300"/>
        </w:trPr>
        <w:tc>
          <w:tcPr>
            <w:tcW w:w="5304" w:type="dxa"/>
            <w:tcBorders>
              <w:top w:val="nil"/>
              <w:left w:val="nil"/>
              <w:bottom w:val="nil"/>
              <w:right w:val="nil"/>
            </w:tcBorders>
            <w:tcMar>
              <w:top w:w="15" w:type="dxa"/>
              <w:left w:w="15" w:type="dxa"/>
              <w:right w:w="15" w:type="dxa"/>
            </w:tcMar>
            <w:vAlign w:val="bottom"/>
          </w:tcPr>
          <w:p w:rsidR="4C30C4F4" w:rsidP="4C30C4F4" w:rsidRDefault="4C30C4F4" w14:paraId="63BA9E2C" w14:textId="2108B473">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Inclusive Economy</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55BBFDE7" w14:textId="034D7683">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49,652,304</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77D362C2" w14:textId="7D2D399F">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30%</w:t>
            </w:r>
          </w:p>
        </w:tc>
      </w:tr>
      <w:tr w:rsidR="4C30C4F4" w:rsidTr="4C30C4F4" w14:paraId="37F36606" w14:textId="77777777">
        <w:trPr>
          <w:trHeight w:val="300"/>
        </w:trPr>
        <w:tc>
          <w:tcPr>
            <w:tcW w:w="5304" w:type="dxa"/>
            <w:tcBorders>
              <w:top w:val="nil"/>
              <w:left w:val="nil"/>
              <w:bottom w:val="nil"/>
              <w:right w:val="nil"/>
            </w:tcBorders>
            <w:tcMar>
              <w:top w:w="15" w:type="dxa"/>
              <w:left w:w="15" w:type="dxa"/>
              <w:right w:w="15" w:type="dxa"/>
            </w:tcMar>
            <w:vAlign w:val="bottom"/>
          </w:tcPr>
          <w:p w:rsidR="4C30C4F4" w:rsidP="4C30C4F4" w:rsidRDefault="4C30C4F4" w14:paraId="2A92CE20" w14:textId="0E3BC913">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Other Corporate Accounts</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54916F25" w14:textId="02E64E2E">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291,052</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2B449216" w14:textId="66AD2E7B">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0%</w:t>
            </w:r>
          </w:p>
        </w:tc>
      </w:tr>
      <w:tr w:rsidR="4C30C4F4" w:rsidTr="4C30C4F4" w14:paraId="327F465E" w14:textId="77777777">
        <w:trPr>
          <w:trHeight w:val="300"/>
        </w:trPr>
        <w:tc>
          <w:tcPr>
            <w:tcW w:w="5304" w:type="dxa"/>
            <w:tcBorders>
              <w:top w:val="nil"/>
              <w:left w:val="nil"/>
              <w:bottom w:val="nil"/>
              <w:right w:val="nil"/>
            </w:tcBorders>
            <w:tcMar>
              <w:top w:w="15" w:type="dxa"/>
              <w:left w:w="15" w:type="dxa"/>
              <w:right w:w="15" w:type="dxa"/>
            </w:tcMar>
            <w:vAlign w:val="bottom"/>
          </w:tcPr>
          <w:p w:rsidR="4C30C4F4" w:rsidP="4C30C4F4" w:rsidRDefault="4C30C4F4" w14:paraId="28831323" w14:textId="7C604E90">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Population Wellbeing</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37BDA968" w14:textId="7F0DBEB7">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94,044,310</w:t>
            </w:r>
          </w:p>
        </w:tc>
        <w:tc>
          <w:tcPr>
            <w:tcW w:w="1856" w:type="dxa"/>
            <w:tcBorders>
              <w:top w:val="nil"/>
              <w:left w:val="nil"/>
              <w:bottom w:val="nil"/>
              <w:right w:val="nil"/>
            </w:tcBorders>
            <w:tcMar>
              <w:top w:w="15" w:type="dxa"/>
              <w:left w:w="15" w:type="dxa"/>
              <w:right w:w="15" w:type="dxa"/>
            </w:tcMar>
            <w:vAlign w:val="bottom"/>
          </w:tcPr>
          <w:p w:rsidR="4C30C4F4" w:rsidP="4C30C4F4" w:rsidRDefault="4C30C4F4" w14:paraId="6299249D" w14:textId="3AD1AEA5">
            <w:pPr>
              <w:rPr>
                <w:rFonts w:ascii="Arial Nova" w:hAnsi="Arial Nova" w:eastAsia="Arial Nova" w:cs="Arial Nova"/>
                <w:color w:val="000000" w:themeColor="text1"/>
                <w:sz w:val="20"/>
                <w:szCs w:val="20"/>
              </w:rPr>
            </w:pPr>
            <w:r w:rsidRPr="4C30C4F4">
              <w:rPr>
                <w:rFonts w:ascii="Arial Nova" w:hAnsi="Arial Nova" w:eastAsia="Arial Nova" w:cs="Arial Nova"/>
                <w:color w:val="000000" w:themeColor="text1"/>
                <w:sz w:val="20"/>
                <w:szCs w:val="20"/>
              </w:rPr>
              <w:t>57%</w:t>
            </w:r>
          </w:p>
        </w:tc>
      </w:tr>
    </w:tbl>
    <w:p w:rsidR="4C30C4F4" w:rsidP="4C30C4F4" w:rsidRDefault="4C30C4F4" w14:paraId="53CC39DD" w14:textId="08AE0FF7">
      <w:pPr>
        <w:pStyle w:val="ListParagraph"/>
        <w:ind w:left="0"/>
        <w:rPr>
          <w:rFonts w:ascii="Arial" w:hAnsi="Arial" w:cs="Arial"/>
          <w:sz w:val="20"/>
          <w:szCs w:val="20"/>
        </w:rPr>
      </w:pPr>
    </w:p>
    <w:p w:rsidR="2D79FE6F" w:rsidP="4C30C4F4" w:rsidRDefault="2D79FE6F" w14:paraId="7C4FAA5C" w14:textId="17006482">
      <w:pPr>
        <w:pStyle w:val="ListParagraph"/>
        <w:ind w:left="0"/>
        <w:rPr>
          <w:rFonts w:ascii="Arial" w:hAnsi="Arial" w:cs="Arial"/>
          <w:sz w:val="20"/>
          <w:szCs w:val="20"/>
        </w:rPr>
      </w:pPr>
      <w:r w:rsidRPr="4C30C4F4">
        <w:rPr>
          <w:rFonts w:ascii="Arial" w:hAnsi="Arial" w:cs="Arial"/>
          <w:sz w:val="20"/>
          <w:szCs w:val="20"/>
        </w:rPr>
        <w:t xml:space="preserve">To lever value and make savings on existing contracts, irrespective of their end or start dates, the Council would need </w:t>
      </w:r>
      <w:r w:rsidR="00EC2165">
        <w:rPr>
          <w:rFonts w:ascii="Arial" w:hAnsi="Arial" w:cs="Arial"/>
          <w:sz w:val="20"/>
          <w:szCs w:val="20"/>
        </w:rPr>
        <w:t xml:space="preserve">to </w:t>
      </w:r>
      <w:r w:rsidRPr="4C30C4F4">
        <w:rPr>
          <w:rFonts w:ascii="Arial" w:hAnsi="Arial" w:cs="Arial"/>
          <w:sz w:val="20"/>
          <w:szCs w:val="20"/>
        </w:rPr>
        <w:t>develop the contract management practice to an optimised maturity level. This can be achieved by:</w:t>
      </w:r>
    </w:p>
    <w:p w:rsidR="2D79FE6F" w:rsidP="4C30C4F4" w:rsidRDefault="2D79FE6F" w14:paraId="0676FE91" w14:textId="47F7404D">
      <w:pPr>
        <w:pStyle w:val="ListParagraph"/>
        <w:numPr>
          <w:ilvl w:val="0"/>
          <w:numId w:val="1"/>
        </w:numPr>
        <w:rPr>
          <w:rFonts w:ascii="Arial" w:hAnsi="Arial" w:cs="Arial"/>
          <w:sz w:val="20"/>
          <w:szCs w:val="20"/>
        </w:rPr>
      </w:pPr>
      <w:r w:rsidRPr="4C30C4F4">
        <w:rPr>
          <w:rFonts w:ascii="Arial" w:hAnsi="Arial" w:cs="Arial"/>
          <w:sz w:val="20"/>
          <w:szCs w:val="20"/>
        </w:rPr>
        <w:t>Develop</w:t>
      </w:r>
      <w:r w:rsidRPr="4C30C4F4" w:rsidR="4B785EF5">
        <w:rPr>
          <w:rFonts w:ascii="Arial" w:hAnsi="Arial" w:cs="Arial"/>
          <w:sz w:val="20"/>
          <w:szCs w:val="20"/>
        </w:rPr>
        <w:t>ing</w:t>
      </w:r>
      <w:r w:rsidRPr="4C30C4F4">
        <w:rPr>
          <w:rFonts w:ascii="Arial" w:hAnsi="Arial" w:cs="Arial"/>
          <w:sz w:val="20"/>
          <w:szCs w:val="20"/>
        </w:rPr>
        <w:t xml:space="preserve"> a contract management workbook </w:t>
      </w:r>
      <w:r w:rsidRPr="4C30C4F4" w:rsidR="7AE93D93">
        <w:rPr>
          <w:rFonts w:ascii="Arial" w:hAnsi="Arial" w:cs="Arial"/>
          <w:sz w:val="20"/>
          <w:szCs w:val="20"/>
        </w:rPr>
        <w:t xml:space="preserve">with tools and templates </w:t>
      </w:r>
      <w:r w:rsidRPr="4C30C4F4">
        <w:rPr>
          <w:rFonts w:ascii="Arial" w:hAnsi="Arial" w:cs="Arial"/>
          <w:sz w:val="20"/>
          <w:szCs w:val="20"/>
        </w:rPr>
        <w:t xml:space="preserve">segmented by contractual risk and value. </w:t>
      </w:r>
    </w:p>
    <w:p w:rsidR="0CD379C4" w:rsidP="4C30C4F4" w:rsidRDefault="0CD379C4" w14:paraId="0B463E57" w14:textId="50F70CBA">
      <w:pPr>
        <w:pStyle w:val="ListParagraph"/>
        <w:numPr>
          <w:ilvl w:val="0"/>
          <w:numId w:val="1"/>
        </w:numPr>
        <w:rPr>
          <w:rFonts w:ascii="Arial" w:hAnsi="Arial" w:cs="Arial"/>
          <w:sz w:val="20"/>
          <w:szCs w:val="20"/>
        </w:rPr>
      </w:pPr>
      <w:r w:rsidRPr="4C30C4F4">
        <w:rPr>
          <w:rFonts w:ascii="Arial" w:hAnsi="Arial" w:cs="Arial"/>
          <w:sz w:val="20"/>
          <w:szCs w:val="20"/>
        </w:rPr>
        <w:t>Define the roles and responsibilities for contract managers and contract owners.</w:t>
      </w:r>
    </w:p>
    <w:p w:rsidR="5097F616" w:rsidP="4C30C4F4" w:rsidRDefault="5097F616" w14:paraId="5F375181" w14:textId="75A9B26B">
      <w:pPr>
        <w:pStyle w:val="ListParagraph"/>
        <w:numPr>
          <w:ilvl w:val="0"/>
          <w:numId w:val="1"/>
        </w:numPr>
        <w:rPr>
          <w:rFonts w:ascii="Arial" w:hAnsi="Arial" w:cs="Arial"/>
          <w:sz w:val="20"/>
          <w:szCs w:val="20"/>
        </w:rPr>
      </w:pPr>
      <w:r w:rsidRPr="4C30C4F4">
        <w:rPr>
          <w:rFonts w:ascii="Arial" w:hAnsi="Arial" w:cs="Arial"/>
          <w:sz w:val="20"/>
          <w:szCs w:val="20"/>
        </w:rPr>
        <w:t>Ensuring the contract register is correct and details all contracts that have been let.</w:t>
      </w:r>
    </w:p>
    <w:p w:rsidR="2D79FE6F" w:rsidP="4C30C4F4" w:rsidRDefault="2D79FE6F" w14:paraId="1DAC78CD" w14:textId="70D17A86">
      <w:pPr>
        <w:pStyle w:val="ListParagraph"/>
        <w:numPr>
          <w:ilvl w:val="0"/>
          <w:numId w:val="1"/>
        </w:numPr>
        <w:rPr>
          <w:rFonts w:ascii="Arial" w:hAnsi="Arial" w:cs="Arial"/>
          <w:sz w:val="20"/>
          <w:szCs w:val="20"/>
        </w:rPr>
      </w:pPr>
      <w:r w:rsidRPr="4C30C4F4">
        <w:rPr>
          <w:rFonts w:ascii="Arial" w:hAnsi="Arial" w:cs="Arial"/>
          <w:sz w:val="20"/>
          <w:szCs w:val="20"/>
        </w:rPr>
        <w:t xml:space="preserve">Contract Managers and Contract Owners would be required to be trained in the use of the </w:t>
      </w:r>
      <w:r w:rsidRPr="4C30C4F4" w:rsidR="38C8CDEB">
        <w:rPr>
          <w:rFonts w:ascii="Arial" w:hAnsi="Arial" w:cs="Arial"/>
          <w:sz w:val="20"/>
          <w:szCs w:val="20"/>
        </w:rPr>
        <w:t xml:space="preserve">contract </w:t>
      </w:r>
      <w:r w:rsidRPr="4C30C4F4">
        <w:rPr>
          <w:rFonts w:ascii="Arial" w:hAnsi="Arial" w:cs="Arial"/>
          <w:sz w:val="20"/>
          <w:szCs w:val="20"/>
        </w:rPr>
        <w:t>workbook and then apply their learning to optimising outcomes and value from contracts.</w:t>
      </w:r>
    </w:p>
    <w:p w:rsidR="7A57C8E0" w:rsidP="4C30C4F4" w:rsidRDefault="7A57C8E0" w14:paraId="44C82BE7" w14:textId="37C1F1C2">
      <w:pPr>
        <w:pStyle w:val="ListParagraph"/>
        <w:numPr>
          <w:ilvl w:val="0"/>
          <w:numId w:val="1"/>
        </w:numPr>
        <w:rPr>
          <w:rFonts w:ascii="Arial" w:hAnsi="Arial" w:cs="Arial"/>
          <w:sz w:val="20"/>
          <w:szCs w:val="20"/>
        </w:rPr>
      </w:pPr>
      <w:r w:rsidRPr="4C30C4F4">
        <w:rPr>
          <w:rFonts w:ascii="Arial" w:hAnsi="Arial" w:cs="Arial"/>
          <w:sz w:val="20"/>
          <w:szCs w:val="20"/>
        </w:rPr>
        <w:t>Capitalise on existing good practice to create a community of support for contract managers/ owners</w:t>
      </w:r>
      <w:r w:rsidR="000B5B31">
        <w:rPr>
          <w:rFonts w:ascii="Arial" w:hAnsi="Arial" w:cs="Arial"/>
          <w:sz w:val="20"/>
          <w:szCs w:val="20"/>
        </w:rPr>
        <w:t>.</w:t>
      </w:r>
    </w:p>
    <w:p w:rsidR="2D79FE6F" w:rsidP="4C30C4F4" w:rsidRDefault="2D79FE6F" w14:paraId="31DAB6D0" w14:textId="79454229">
      <w:pPr>
        <w:pStyle w:val="ListParagraph"/>
        <w:numPr>
          <w:ilvl w:val="0"/>
          <w:numId w:val="1"/>
        </w:numPr>
        <w:rPr>
          <w:rFonts w:ascii="Arial" w:hAnsi="Arial" w:cs="Arial"/>
          <w:sz w:val="20"/>
          <w:szCs w:val="20"/>
        </w:rPr>
      </w:pPr>
      <w:r w:rsidRPr="4C30C4F4">
        <w:rPr>
          <w:rFonts w:ascii="Arial" w:hAnsi="Arial" w:cs="Arial"/>
          <w:sz w:val="20"/>
          <w:szCs w:val="20"/>
        </w:rPr>
        <w:t xml:space="preserve">Focussed training and support in contract negotiation, </w:t>
      </w:r>
      <w:r w:rsidRPr="5F77973C" w:rsidR="462555BE">
        <w:rPr>
          <w:rFonts w:ascii="Arial" w:hAnsi="Arial" w:cs="Arial"/>
          <w:sz w:val="20"/>
          <w:szCs w:val="20"/>
        </w:rPr>
        <w:t>generating innovation and managing continuous improvement,</w:t>
      </w:r>
      <w:r w:rsidRPr="5F77973C" w:rsidR="1C14644E">
        <w:rPr>
          <w:rFonts w:ascii="Arial" w:hAnsi="Arial" w:cs="Arial"/>
          <w:sz w:val="20"/>
          <w:szCs w:val="20"/>
        </w:rPr>
        <w:t xml:space="preserve"> </w:t>
      </w:r>
      <w:r w:rsidRPr="4C30C4F4">
        <w:rPr>
          <w:rFonts w:ascii="Arial" w:hAnsi="Arial" w:cs="Arial"/>
          <w:sz w:val="20"/>
          <w:szCs w:val="20"/>
        </w:rPr>
        <w:t>contract value levering and supplier relationship management.</w:t>
      </w:r>
    </w:p>
    <w:p w:rsidR="2954E282" w:rsidP="4C30C4F4" w:rsidRDefault="2954E282" w14:paraId="31BAB42C" w14:textId="62F94D87">
      <w:pPr>
        <w:pStyle w:val="ListParagraph"/>
        <w:numPr>
          <w:ilvl w:val="0"/>
          <w:numId w:val="1"/>
        </w:numPr>
        <w:rPr>
          <w:rFonts w:ascii="Arial" w:hAnsi="Arial" w:cs="Arial"/>
          <w:sz w:val="20"/>
          <w:szCs w:val="20"/>
        </w:rPr>
      </w:pPr>
      <w:r w:rsidRPr="4C30C4F4">
        <w:rPr>
          <w:rFonts w:ascii="Arial" w:hAnsi="Arial" w:cs="Arial"/>
          <w:sz w:val="20"/>
          <w:szCs w:val="20"/>
        </w:rPr>
        <w:t>Dedicated and trained contract management support to ensure all contracts are managed well and review meetings have agendas and minutes with agreements on performance metrics. As a prop</w:t>
      </w:r>
      <w:r w:rsidRPr="4C30C4F4" w:rsidR="1E0D1BC2">
        <w:rPr>
          <w:rFonts w:ascii="Arial" w:hAnsi="Arial" w:cs="Arial"/>
          <w:sz w:val="20"/>
          <w:szCs w:val="20"/>
        </w:rPr>
        <w:t>ortion of total Council spend, third parties should be considered with equal importance</w:t>
      </w:r>
      <w:r w:rsidRPr="4C30C4F4" w:rsidR="4F760B81">
        <w:rPr>
          <w:rFonts w:ascii="Arial" w:hAnsi="Arial" w:cs="Arial"/>
          <w:sz w:val="20"/>
          <w:szCs w:val="20"/>
        </w:rPr>
        <w:t xml:space="preserve"> as in-house</w:t>
      </w:r>
      <w:r w:rsidRPr="4C30C4F4" w:rsidR="1E0D1BC2">
        <w:rPr>
          <w:rFonts w:ascii="Arial" w:hAnsi="Arial" w:cs="Arial"/>
          <w:sz w:val="20"/>
          <w:szCs w:val="20"/>
        </w:rPr>
        <w:t xml:space="preserve"> </w:t>
      </w:r>
      <w:r w:rsidRPr="4C30C4F4" w:rsidR="4233B17B">
        <w:rPr>
          <w:rFonts w:ascii="Arial" w:hAnsi="Arial" w:cs="Arial"/>
          <w:sz w:val="20"/>
          <w:szCs w:val="20"/>
        </w:rPr>
        <w:t xml:space="preserve">services </w:t>
      </w:r>
      <w:r w:rsidRPr="4C30C4F4" w:rsidR="1E0D1BC2">
        <w:rPr>
          <w:rFonts w:ascii="Arial" w:hAnsi="Arial" w:cs="Arial"/>
          <w:sz w:val="20"/>
          <w:szCs w:val="20"/>
        </w:rPr>
        <w:t>and as such the performance management framework and budget monitoring should be given</w:t>
      </w:r>
      <w:r w:rsidRPr="4C30C4F4" w:rsidR="5F683690">
        <w:rPr>
          <w:rFonts w:ascii="Arial" w:hAnsi="Arial" w:cs="Arial"/>
          <w:sz w:val="20"/>
          <w:szCs w:val="20"/>
        </w:rPr>
        <w:t xml:space="preserve"> parity for strategic oversight.</w:t>
      </w:r>
    </w:p>
    <w:p w:rsidR="2D79FE6F" w:rsidP="4C30C4F4" w:rsidRDefault="2D79FE6F" w14:paraId="126E180F" w14:textId="17F739E6">
      <w:pPr>
        <w:pStyle w:val="ListParagraph"/>
        <w:numPr>
          <w:ilvl w:val="0"/>
          <w:numId w:val="1"/>
        </w:numPr>
        <w:rPr>
          <w:rFonts w:ascii="Arial" w:hAnsi="Arial" w:cs="Arial"/>
          <w:sz w:val="20"/>
          <w:szCs w:val="20"/>
        </w:rPr>
      </w:pPr>
      <w:r w:rsidRPr="4C30C4F4">
        <w:rPr>
          <w:rFonts w:ascii="Arial" w:hAnsi="Arial" w:cs="Arial"/>
          <w:sz w:val="20"/>
          <w:szCs w:val="20"/>
        </w:rPr>
        <w:t>A contract management maturity index metric would need to be tracked along with contract values to provide demonstrab</w:t>
      </w:r>
      <w:r w:rsidRPr="4C30C4F4" w:rsidR="3696CA70">
        <w:rPr>
          <w:rFonts w:ascii="Arial" w:hAnsi="Arial" w:cs="Arial"/>
          <w:sz w:val="20"/>
          <w:szCs w:val="20"/>
        </w:rPr>
        <w:t>le change from an initial baseline.</w:t>
      </w:r>
      <w:r w:rsidRPr="4C30C4F4" w:rsidR="21380C85">
        <w:rPr>
          <w:rFonts w:ascii="Arial" w:hAnsi="Arial" w:cs="Arial"/>
          <w:sz w:val="20"/>
          <w:szCs w:val="20"/>
        </w:rPr>
        <w:t xml:space="preserve"> This would require mandated performance management (now required &gt;£5m under the Procurement Act) and strategic oversight of contract performance and spend.</w:t>
      </w:r>
    </w:p>
    <w:p w:rsidR="4C30C4F4" w:rsidP="4C30C4F4" w:rsidRDefault="4C30C4F4" w14:paraId="2FBD43C7" w14:textId="3667B87A">
      <w:pPr>
        <w:pStyle w:val="ListParagraph"/>
        <w:ind w:left="0"/>
        <w:rPr>
          <w:rFonts w:ascii="Arial" w:hAnsi="Arial" w:cs="Arial"/>
          <w:sz w:val="20"/>
          <w:szCs w:val="20"/>
        </w:rPr>
      </w:pPr>
    </w:p>
    <w:p w:rsidR="762D11A3" w:rsidP="762D11A3" w:rsidRDefault="762D11A3" w14:paraId="27182953" w14:textId="1810059A">
      <w:pPr>
        <w:pStyle w:val="ListParagraph"/>
        <w:ind w:left="0"/>
        <w:rPr>
          <w:rFonts w:ascii="Arial" w:hAnsi="Arial" w:cs="Arial"/>
          <w:sz w:val="20"/>
          <w:szCs w:val="20"/>
        </w:rPr>
      </w:pPr>
    </w:p>
    <w:p w:rsidR="4C30C4F4" w:rsidP="4C30C4F4" w:rsidRDefault="4C30C4F4" w14:paraId="1CD05673" w14:textId="40598684">
      <w:pPr>
        <w:pStyle w:val="ListParagraph"/>
        <w:ind w:left="0"/>
        <w:rPr>
          <w:rFonts w:ascii="Arial" w:hAnsi="Arial" w:cs="Arial"/>
          <w:b/>
          <w:bCs/>
          <w:sz w:val="20"/>
          <w:szCs w:val="20"/>
        </w:rPr>
      </w:pPr>
    </w:p>
    <w:p w:rsidR="00C8194B" w:rsidP="714252C5" w:rsidRDefault="31A649D9" w14:paraId="210C4D9D" w14:textId="304D8A7E">
      <w:pPr>
        <w:pStyle w:val="ListParagraph"/>
        <w:ind w:left="0"/>
        <w:rPr>
          <w:rFonts w:ascii="Arial" w:hAnsi="Arial" w:cs="Arial"/>
          <w:b/>
          <w:bCs/>
          <w:sz w:val="20"/>
          <w:szCs w:val="20"/>
        </w:rPr>
      </w:pPr>
      <w:r w:rsidRPr="4C30C4F4">
        <w:rPr>
          <w:rFonts w:ascii="Arial" w:hAnsi="Arial" w:cs="Arial"/>
          <w:b/>
          <w:bCs/>
          <w:sz w:val="20"/>
          <w:szCs w:val="20"/>
        </w:rPr>
        <w:t>Third Party Spend</w:t>
      </w:r>
      <w:r w:rsidRPr="4C30C4F4" w:rsidR="6AC00E32">
        <w:rPr>
          <w:rFonts w:ascii="Arial" w:hAnsi="Arial" w:cs="Arial"/>
          <w:b/>
          <w:bCs/>
          <w:sz w:val="20"/>
          <w:szCs w:val="20"/>
        </w:rPr>
        <w:t xml:space="preserve"> Top 20 Contracts</w:t>
      </w:r>
    </w:p>
    <w:p w:rsidR="00C8194B" w:rsidP="714252C5" w:rsidRDefault="00C8194B" w14:paraId="163216CC" w14:textId="1CB48AED">
      <w:pPr>
        <w:pStyle w:val="ListParagraph"/>
        <w:ind w:left="0"/>
        <w:rPr>
          <w:rFonts w:ascii="Arial" w:hAnsi="Arial" w:cs="Arial"/>
          <w:sz w:val="20"/>
          <w:szCs w:val="20"/>
        </w:rPr>
      </w:pPr>
    </w:p>
    <w:p w:rsidR="2052AA85" w:rsidP="4C30C4F4" w:rsidRDefault="2052AA85" w14:paraId="000C6C6C" w14:textId="7725249C">
      <w:pPr>
        <w:pStyle w:val="ListParagraph"/>
        <w:ind w:left="0"/>
        <w:rPr>
          <w:rFonts w:ascii="Arial" w:hAnsi="Arial" w:cs="Arial"/>
          <w:sz w:val="20"/>
          <w:szCs w:val="20"/>
        </w:rPr>
      </w:pPr>
      <w:r w:rsidRPr="4C30C4F4">
        <w:rPr>
          <w:rFonts w:ascii="Arial" w:hAnsi="Arial" w:cs="Arial"/>
          <w:sz w:val="20"/>
          <w:szCs w:val="20"/>
        </w:rPr>
        <w:t>Within the general fund, the top 20 supplier spend totals £49.8m</w:t>
      </w:r>
      <w:r w:rsidRPr="4C30C4F4" w:rsidR="6E376CF2">
        <w:rPr>
          <w:rFonts w:ascii="Arial" w:hAnsi="Arial" w:cs="Arial"/>
          <w:sz w:val="20"/>
          <w:szCs w:val="20"/>
        </w:rPr>
        <w:t>. If we solely focussed upon levering value with these suppliers and achieved a 2% saving, this would equate to £996,</w:t>
      </w:r>
      <w:r w:rsidRPr="4C30C4F4" w:rsidR="58DFDF65">
        <w:rPr>
          <w:rFonts w:ascii="Arial" w:hAnsi="Arial" w:cs="Arial"/>
          <w:sz w:val="20"/>
          <w:szCs w:val="20"/>
        </w:rPr>
        <w:t>748</w:t>
      </w:r>
      <w:r w:rsidRPr="5F77973C" w:rsidR="09F3D1FD">
        <w:rPr>
          <w:rFonts w:ascii="Arial" w:hAnsi="Arial" w:cs="Arial"/>
          <w:sz w:val="20"/>
          <w:szCs w:val="20"/>
        </w:rPr>
        <w:t>, however 5% would equate to £2.49m</w:t>
      </w:r>
      <w:r w:rsidRPr="5F77973C" w:rsidR="326C7095">
        <w:rPr>
          <w:rFonts w:ascii="Arial" w:hAnsi="Arial" w:cs="Arial"/>
          <w:sz w:val="20"/>
          <w:szCs w:val="20"/>
        </w:rPr>
        <w:t xml:space="preserve">. </w:t>
      </w:r>
    </w:p>
    <w:p w:rsidR="4C30C4F4" w:rsidP="4C30C4F4" w:rsidRDefault="4C30C4F4" w14:paraId="301A8325" w14:textId="6EB75649">
      <w:pPr>
        <w:pStyle w:val="ListParagraph"/>
        <w:ind w:left="0"/>
        <w:rPr>
          <w:rFonts w:ascii="Arial" w:hAnsi="Arial" w:cs="Arial"/>
          <w:sz w:val="20"/>
          <w:szCs w:val="20"/>
        </w:rPr>
      </w:pPr>
    </w:p>
    <w:p w:rsidR="2DFD4F99" w:rsidP="4C30C4F4" w:rsidRDefault="2DFD4F99" w14:paraId="7F78F20E" w14:textId="5521B8E5">
      <w:pPr>
        <w:pStyle w:val="ListParagraph"/>
        <w:ind w:left="0"/>
        <w:rPr>
          <w:rFonts w:ascii="Arial" w:hAnsi="Arial" w:cs="Arial"/>
          <w:sz w:val="20"/>
          <w:szCs w:val="20"/>
        </w:rPr>
      </w:pPr>
      <w:r w:rsidRPr="4C30C4F4">
        <w:rPr>
          <w:rFonts w:ascii="Arial" w:hAnsi="Arial" w:cs="Arial"/>
          <w:sz w:val="20"/>
          <w:szCs w:val="20"/>
        </w:rPr>
        <w:t xml:space="preserve">We have reviewed the spend report data and excluded </w:t>
      </w:r>
      <w:proofErr w:type="spellStart"/>
      <w:r w:rsidRPr="4C30C4F4">
        <w:rPr>
          <w:rFonts w:ascii="Arial" w:hAnsi="Arial" w:cs="Arial"/>
          <w:sz w:val="20"/>
          <w:szCs w:val="20"/>
        </w:rPr>
        <w:t>Civica</w:t>
      </w:r>
      <w:proofErr w:type="spellEnd"/>
      <w:r w:rsidRPr="4C30C4F4">
        <w:rPr>
          <w:rFonts w:ascii="Arial" w:hAnsi="Arial" w:cs="Arial"/>
          <w:sz w:val="20"/>
          <w:szCs w:val="20"/>
        </w:rPr>
        <w:t xml:space="preserve"> to identify the highest valued contracts in-year from the general fund. To provide additional data we have also identified </w:t>
      </w:r>
      <w:r w:rsidRPr="4C30C4F4" w:rsidR="166C8E33">
        <w:rPr>
          <w:rFonts w:ascii="Arial" w:hAnsi="Arial" w:cs="Arial"/>
          <w:sz w:val="20"/>
          <w:szCs w:val="20"/>
        </w:rPr>
        <w:t xml:space="preserve">if that supplier has expenditure from any other funding sources which may be beneficial if value is levered as this would also generate savings from other funding sources. </w:t>
      </w:r>
    </w:p>
    <w:p w:rsidR="4C30C4F4" w:rsidP="4C30C4F4" w:rsidRDefault="4C30C4F4" w14:paraId="4848CB98" w14:textId="2A63A939">
      <w:pPr>
        <w:pStyle w:val="ListParagraph"/>
        <w:ind w:left="0"/>
        <w:rPr>
          <w:rFonts w:ascii="Arial" w:hAnsi="Arial" w:cs="Arial"/>
          <w:sz w:val="20"/>
          <w:szCs w:val="20"/>
        </w:rPr>
      </w:pPr>
    </w:p>
    <w:p w:rsidR="246A8A90" w:rsidP="4C30C4F4" w:rsidRDefault="246A8A90" w14:paraId="78FAD198" w14:textId="1EC09DB1">
      <w:pPr>
        <w:pStyle w:val="ListParagraph"/>
        <w:ind w:left="0"/>
        <w:rPr>
          <w:rFonts w:ascii="Arial" w:hAnsi="Arial" w:cs="Arial"/>
          <w:sz w:val="20"/>
          <w:szCs w:val="20"/>
        </w:rPr>
      </w:pPr>
      <w:r w:rsidRPr="4C30C4F4">
        <w:rPr>
          <w:rFonts w:ascii="Arial" w:hAnsi="Arial" w:cs="Arial"/>
          <w:sz w:val="20"/>
          <w:szCs w:val="20"/>
        </w:rPr>
        <w:t>Using the current contract register data, we have also identified when the contract ends</w:t>
      </w:r>
      <w:r w:rsidR="00852A5F">
        <w:rPr>
          <w:rFonts w:ascii="Arial" w:hAnsi="Arial" w:cs="Arial"/>
          <w:sz w:val="20"/>
          <w:szCs w:val="20"/>
        </w:rPr>
        <w:t>. A</w:t>
      </w:r>
      <w:r w:rsidRPr="4C30C4F4" w:rsidR="269EACE5">
        <w:rPr>
          <w:rFonts w:ascii="Arial" w:hAnsi="Arial" w:cs="Arial"/>
          <w:sz w:val="20"/>
          <w:szCs w:val="20"/>
        </w:rPr>
        <w:t xml:space="preserve">s these are all </w:t>
      </w:r>
      <w:proofErr w:type="gramStart"/>
      <w:r w:rsidRPr="4C30C4F4" w:rsidR="269EACE5">
        <w:rPr>
          <w:rFonts w:ascii="Arial" w:hAnsi="Arial" w:cs="Arial"/>
          <w:sz w:val="20"/>
          <w:szCs w:val="20"/>
        </w:rPr>
        <w:t>large valued</w:t>
      </w:r>
      <w:proofErr w:type="gramEnd"/>
      <w:r w:rsidRPr="4C30C4F4" w:rsidR="269EACE5">
        <w:rPr>
          <w:rFonts w:ascii="Arial" w:hAnsi="Arial" w:cs="Arial"/>
          <w:sz w:val="20"/>
          <w:szCs w:val="20"/>
        </w:rPr>
        <w:t xml:space="preserve"> contracts it would be the norm that contract meetings are being held at least quarterly and would do so until the end of the contract. Value can still be levered if a contract is ending next year</w:t>
      </w:r>
      <w:r w:rsidRPr="4C30C4F4" w:rsidR="4CB8A586">
        <w:rPr>
          <w:rFonts w:ascii="Arial" w:hAnsi="Arial" w:cs="Arial"/>
          <w:sz w:val="20"/>
          <w:szCs w:val="20"/>
        </w:rPr>
        <w:t xml:space="preserve"> as</w:t>
      </w:r>
      <w:r w:rsidRPr="4C30C4F4" w:rsidR="269EACE5">
        <w:rPr>
          <w:rFonts w:ascii="Arial" w:hAnsi="Arial" w:cs="Arial"/>
          <w:sz w:val="20"/>
          <w:szCs w:val="20"/>
        </w:rPr>
        <w:t xml:space="preserve"> the final year is when the biggest savin</w:t>
      </w:r>
      <w:r w:rsidRPr="4C30C4F4" w:rsidR="7AA958BD">
        <w:rPr>
          <w:rFonts w:ascii="Arial" w:hAnsi="Arial" w:cs="Arial"/>
          <w:sz w:val="20"/>
          <w:szCs w:val="20"/>
        </w:rPr>
        <w:t xml:space="preserve">gs would be expected to be made through </w:t>
      </w:r>
      <w:r w:rsidRPr="4C30C4F4" w:rsidR="22FC8538">
        <w:rPr>
          <w:rFonts w:ascii="Arial" w:hAnsi="Arial" w:cs="Arial"/>
          <w:sz w:val="20"/>
          <w:szCs w:val="20"/>
        </w:rPr>
        <w:t>continuous</w:t>
      </w:r>
      <w:r w:rsidRPr="4C30C4F4" w:rsidR="7AA958BD">
        <w:rPr>
          <w:rFonts w:ascii="Arial" w:hAnsi="Arial" w:cs="Arial"/>
          <w:sz w:val="20"/>
          <w:szCs w:val="20"/>
        </w:rPr>
        <w:t xml:space="preserve"> improvement, </w:t>
      </w:r>
      <w:r w:rsidRPr="4C30C4F4" w:rsidR="3D5D4203">
        <w:rPr>
          <w:rFonts w:ascii="Arial" w:hAnsi="Arial" w:cs="Arial"/>
          <w:sz w:val="20"/>
          <w:szCs w:val="20"/>
        </w:rPr>
        <w:t xml:space="preserve">service </w:t>
      </w:r>
      <w:r w:rsidRPr="4C30C4F4" w:rsidR="3DA3A9E4">
        <w:rPr>
          <w:rFonts w:ascii="Arial" w:hAnsi="Arial" w:cs="Arial"/>
          <w:sz w:val="20"/>
          <w:szCs w:val="20"/>
        </w:rPr>
        <w:t xml:space="preserve">embedding and </w:t>
      </w:r>
      <w:r w:rsidRPr="4C30C4F4" w:rsidR="7AA958BD">
        <w:rPr>
          <w:rFonts w:ascii="Arial" w:hAnsi="Arial" w:cs="Arial"/>
          <w:sz w:val="20"/>
          <w:szCs w:val="20"/>
        </w:rPr>
        <w:t>delivery efficacy</w:t>
      </w:r>
      <w:r w:rsidRPr="4C30C4F4" w:rsidR="3EE76409">
        <w:rPr>
          <w:rFonts w:ascii="Arial" w:hAnsi="Arial" w:cs="Arial"/>
          <w:sz w:val="20"/>
          <w:szCs w:val="20"/>
        </w:rPr>
        <w:t>,</w:t>
      </w:r>
      <w:r w:rsidRPr="4C30C4F4" w:rsidR="7AA958BD">
        <w:rPr>
          <w:rFonts w:ascii="Arial" w:hAnsi="Arial" w:cs="Arial"/>
          <w:sz w:val="20"/>
          <w:szCs w:val="20"/>
        </w:rPr>
        <w:t xml:space="preserve"> and </w:t>
      </w:r>
      <w:r w:rsidRPr="4C30C4F4" w:rsidR="14F04FC1">
        <w:rPr>
          <w:rFonts w:ascii="Arial" w:hAnsi="Arial" w:cs="Arial"/>
          <w:sz w:val="20"/>
          <w:szCs w:val="20"/>
        </w:rPr>
        <w:t>economies of scale.</w:t>
      </w:r>
    </w:p>
    <w:p w:rsidR="4C30C4F4" w:rsidP="4C30C4F4" w:rsidRDefault="4C30C4F4" w14:paraId="50E08593" w14:textId="1519457E">
      <w:pPr>
        <w:pStyle w:val="ListParagraph"/>
        <w:ind w:left="0"/>
        <w:rPr>
          <w:rFonts w:ascii="Arial" w:hAnsi="Arial" w:cs="Arial"/>
          <w:sz w:val="20"/>
          <w:szCs w:val="20"/>
        </w:rPr>
      </w:pPr>
    </w:p>
    <w:tbl>
      <w:tblPr>
        <w:tblW w:w="9251" w:type="dxa"/>
        <w:tblLayout w:type="fixed"/>
        <w:tblLook w:val="06A0" w:firstRow="1" w:lastRow="0" w:firstColumn="1" w:lastColumn="0" w:noHBand="1" w:noVBand="1"/>
      </w:tblPr>
      <w:tblGrid>
        <w:gridCol w:w="4555"/>
        <w:gridCol w:w="1257"/>
        <w:gridCol w:w="1303"/>
        <w:gridCol w:w="2136"/>
      </w:tblGrid>
      <w:tr w:rsidR="4C30C4F4" w:rsidTr="003372B8" w14:paraId="5E28322D"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A"/>
            <w:tcMar>
              <w:top w:w="15" w:type="dxa"/>
              <w:left w:w="15" w:type="dxa"/>
              <w:right w:w="15" w:type="dxa"/>
            </w:tcMar>
            <w:vAlign w:val="bottom"/>
          </w:tcPr>
          <w:p w:rsidR="4C30C4F4" w:rsidP="4C30C4F4" w:rsidRDefault="4C30C4F4" w14:paraId="4339A855" w14:textId="39C0079C">
            <w:r w:rsidRPr="4C30C4F4">
              <w:rPr>
                <w:rFonts w:ascii="Calibri" w:hAnsi="Calibri" w:eastAsia="Calibri" w:cs="Calibri"/>
                <w:b/>
                <w:bCs/>
                <w:color w:val="000000" w:themeColor="text1"/>
              </w:rPr>
              <w:t xml:space="preserve">Top 20 Highest Value Suppliers from General Fund (excluding </w:t>
            </w:r>
            <w:proofErr w:type="spellStart"/>
            <w:r w:rsidRPr="4C30C4F4">
              <w:rPr>
                <w:rFonts w:ascii="Calibri" w:hAnsi="Calibri" w:eastAsia="Calibri" w:cs="Calibri"/>
                <w:b/>
                <w:bCs/>
                <w:color w:val="000000" w:themeColor="text1"/>
              </w:rPr>
              <w:t>Civica</w:t>
            </w:r>
            <w:proofErr w:type="spellEnd"/>
            <w:r w:rsidRPr="4C30C4F4">
              <w:rPr>
                <w:rFonts w:ascii="Calibri" w:hAnsi="Calibri" w:eastAsia="Calibri" w:cs="Calibri"/>
                <w:b/>
                <w:bCs/>
                <w:color w:val="000000" w:themeColor="text1"/>
              </w:rPr>
              <w:t>)</w:t>
            </w:r>
          </w:p>
        </w:tc>
        <w:tc>
          <w:tcPr>
            <w:tcW w:w="1257" w:type="dxa"/>
            <w:tcBorders>
              <w:top w:val="single" w:color="000000" w:themeColor="text1" w:sz="4" w:space="0"/>
              <w:left w:val="single" w:color="000000" w:themeColor="text1" w:sz="4" w:space="0"/>
              <w:bottom w:val="single" w:color="000000" w:themeColor="text1" w:sz="4" w:space="0"/>
              <w:right w:val="nil"/>
            </w:tcBorders>
            <w:shd w:val="clear" w:color="auto" w:fill="E2EFDA"/>
            <w:tcMar>
              <w:top w:w="15" w:type="dxa"/>
              <w:left w:w="15" w:type="dxa"/>
              <w:right w:w="15" w:type="dxa"/>
            </w:tcMar>
            <w:vAlign w:val="bottom"/>
          </w:tcPr>
          <w:p w:rsidR="4C30C4F4" w:rsidRDefault="4C30C4F4" w14:paraId="1B22B788" w14:textId="419FC191"/>
        </w:tc>
        <w:tc>
          <w:tcPr>
            <w:tcW w:w="1303" w:type="dxa"/>
            <w:tcBorders>
              <w:top w:val="single" w:color="000000" w:themeColor="text1" w:sz="4" w:space="0"/>
              <w:left w:val="single" w:color="000000" w:themeColor="text1" w:sz="4" w:space="0"/>
              <w:bottom w:val="single" w:color="000000" w:themeColor="text1" w:sz="4" w:space="0"/>
              <w:right w:val="nil"/>
            </w:tcBorders>
            <w:shd w:val="clear" w:color="auto" w:fill="E2EFDA"/>
            <w:tcMar>
              <w:top w:w="15" w:type="dxa"/>
              <w:left w:w="15" w:type="dxa"/>
              <w:right w:w="15" w:type="dxa"/>
            </w:tcMar>
            <w:vAlign w:val="bottom"/>
          </w:tcPr>
          <w:p w:rsidR="4C30C4F4" w:rsidP="4C30C4F4" w:rsidRDefault="4C30C4F4" w14:paraId="188F3480" w14:textId="67B7B54F">
            <w:r w:rsidRPr="4C30C4F4">
              <w:rPr>
                <w:rFonts w:ascii="Calibri" w:hAnsi="Calibri" w:eastAsia="Calibri" w:cs="Calibri"/>
                <w:b/>
                <w:bCs/>
                <w:color w:val="000000" w:themeColor="text1"/>
              </w:rPr>
              <w:t>Non-GF Spend</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A"/>
            <w:tcMar>
              <w:top w:w="15" w:type="dxa"/>
              <w:left w:w="15" w:type="dxa"/>
              <w:right w:w="15" w:type="dxa"/>
            </w:tcMar>
            <w:vAlign w:val="bottom"/>
          </w:tcPr>
          <w:p w:rsidR="4C30C4F4" w:rsidP="4C30C4F4" w:rsidRDefault="4C30C4F4" w14:paraId="3BB77CC2" w14:textId="3A25C901">
            <w:r w:rsidRPr="4C30C4F4">
              <w:rPr>
                <w:rFonts w:ascii="Calibri" w:hAnsi="Calibri" w:eastAsia="Calibri" w:cs="Calibri"/>
                <w:b/>
                <w:bCs/>
                <w:color w:val="000000" w:themeColor="text1"/>
              </w:rPr>
              <w:t>Contract End Year</w:t>
            </w:r>
          </w:p>
        </w:tc>
      </w:tr>
      <w:tr w:rsidR="4C30C4F4" w:rsidTr="003372B8" w14:paraId="2030DAE9"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5A8730DE" w14:textId="3FF5FB91">
            <w:r w:rsidRPr="4C30C4F4">
              <w:rPr>
                <w:rFonts w:ascii="Calibri" w:hAnsi="Calibri" w:eastAsia="Calibri" w:cs="Calibri"/>
                <w:color w:val="000000" w:themeColor="text1"/>
              </w:rPr>
              <w:t>FCC Recycling (UK) Ltd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CB0790B" w14:textId="2371733A">
            <w:r w:rsidRPr="4C30C4F4">
              <w:rPr>
                <w:rFonts w:ascii="Calibri" w:hAnsi="Calibri" w:eastAsia="Calibri" w:cs="Calibri"/>
                <w:color w:val="000000" w:themeColor="text1"/>
              </w:rPr>
              <w:t>8,880,542</w:t>
            </w:r>
          </w:p>
        </w:tc>
        <w:tc>
          <w:tcPr>
            <w:tcW w:w="1303" w:type="dxa"/>
            <w:tcBorders>
              <w:top w:val="single" w:color="000000" w:themeColor="text1" w:sz="4" w:space="0"/>
              <w:left w:val="nil"/>
              <w:bottom w:val="nil"/>
              <w:right w:val="nil"/>
            </w:tcBorders>
            <w:tcMar>
              <w:top w:w="15" w:type="dxa"/>
              <w:left w:w="15" w:type="dxa"/>
              <w:right w:w="15" w:type="dxa"/>
            </w:tcMar>
            <w:vAlign w:val="bottom"/>
          </w:tcPr>
          <w:p w:rsidR="4C30C4F4" w:rsidRDefault="4C30C4F4" w14:paraId="3D2F3A8A" w14:textId="030A08A1"/>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2D591B03" w14:textId="6DD5F2BA">
            <w:pPr>
              <w:rPr>
                <w:rFonts w:ascii="Calibri" w:hAnsi="Calibri" w:eastAsia="Calibri" w:cs="Calibri"/>
                <w:color w:val="000000" w:themeColor="text1"/>
              </w:rPr>
            </w:pPr>
            <w:r w:rsidRPr="4C30C4F4">
              <w:rPr>
                <w:rFonts w:ascii="Calibri" w:hAnsi="Calibri" w:eastAsia="Calibri" w:cs="Calibri"/>
                <w:color w:val="000000" w:themeColor="text1"/>
              </w:rPr>
              <w:t>Not on Contract register</w:t>
            </w:r>
            <w:r w:rsidRPr="4C30C4F4" w:rsidR="6C80499F">
              <w:rPr>
                <w:rFonts w:ascii="Calibri" w:hAnsi="Calibri" w:eastAsia="Calibri" w:cs="Calibri"/>
                <w:color w:val="000000" w:themeColor="text1"/>
              </w:rPr>
              <w:t xml:space="preserve"> (known to be 2024)</w:t>
            </w:r>
          </w:p>
        </w:tc>
      </w:tr>
      <w:tr w:rsidR="4C30C4F4" w:rsidTr="003372B8" w14:paraId="2B29E9AB"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490695C8" w14:textId="02849A55">
            <w:r w:rsidRPr="4C30C4F4">
              <w:rPr>
                <w:rFonts w:ascii="Calibri" w:hAnsi="Calibri" w:eastAsia="Calibri" w:cs="Calibri"/>
                <w:color w:val="000000" w:themeColor="text1"/>
              </w:rPr>
              <w:t>Volker Highways Crowley Ltd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762DC8B2" w14:textId="7CDD85CF">
            <w:r w:rsidRPr="4C30C4F4">
              <w:rPr>
                <w:rFonts w:ascii="Calibri" w:hAnsi="Calibri" w:eastAsia="Calibri" w:cs="Calibri"/>
                <w:color w:val="000000" w:themeColor="text1"/>
              </w:rPr>
              <w:t>3,815,167</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46CF1107" w14:textId="1E54FE77">
            <w:r w:rsidRPr="4C30C4F4">
              <w:rPr>
                <w:rFonts w:ascii="Calibri" w:hAnsi="Calibri" w:eastAsia="Calibri" w:cs="Calibri"/>
                <w:color w:val="000000" w:themeColor="text1"/>
              </w:rPr>
              <w:t>9,049,360</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2064693D" w14:textId="7213F710">
            <w:r w:rsidRPr="4C30C4F4">
              <w:rPr>
                <w:rFonts w:ascii="Calibri" w:hAnsi="Calibri" w:eastAsia="Calibri" w:cs="Calibri"/>
                <w:color w:val="000000" w:themeColor="text1"/>
              </w:rPr>
              <w:t>2027</w:t>
            </w:r>
          </w:p>
        </w:tc>
      </w:tr>
      <w:tr w:rsidR="4C30C4F4" w:rsidTr="003372B8" w14:paraId="17067A39"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DCF2488" w14:textId="7599343F">
            <w:proofErr w:type="spellStart"/>
            <w:r w:rsidRPr="4C30C4F4">
              <w:rPr>
                <w:rFonts w:ascii="Calibri" w:hAnsi="Calibri" w:eastAsia="Calibri" w:cs="Calibri"/>
                <w:color w:val="000000" w:themeColor="text1"/>
              </w:rPr>
              <w:t>NPower</w:t>
            </w:r>
            <w:proofErr w:type="spellEnd"/>
            <w:r w:rsidRPr="4C30C4F4">
              <w:rPr>
                <w:rFonts w:ascii="Calibri" w:hAnsi="Calibri" w:eastAsia="Calibri" w:cs="Calibri"/>
                <w:color w:val="000000" w:themeColor="text1"/>
              </w:rPr>
              <w:t xml:space="preserve"> Ltd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634FC22E" w14:textId="2D04AF04">
            <w:r w:rsidRPr="4C30C4F4">
              <w:rPr>
                <w:rFonts w:ascii="Calibri" w:hAnsi="Calibri" w:eastAsia="Calibri" w:cs="Calibri"/>
                <w:color w:val="000000" w:themeColor="text1"/>
              </w:rPr>
              <w:t>2,888,400</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B1A7B24" w14:textId="3D373665">
            <w:r w:rsidRPr="4C30C4F4">
              <w:rPr>
                <w:rFonts w:ascii="Calibri" w:hAnsi="Calibri" w:eastAsia="Calibri" w:cs="Calibri"/>
                <w:color w:val="000000" w:themeColor="text1"/>
              </w:rPr>
              <w:t>1,990,423</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EAC72E7" w14:textId="3AAE9188">
            <w:r w:rsidRPr="4C30C4F4">
              <w:rPr>
                <w:rFonts w:ascii="Calibri" w:hAnsi="Calibri" w:eastAsia="Calibri" w:cs="Calibri"/>
                <w:color w:val="000000" w:themeColor="text1"/>
              </w:rPr>
              <w:t>2024</w:t>
            </w:r>
          </w:p>
        </w:tc>
      </w:tr>
      <w:tr w:rsidR="4C30C4F4" w:rsidTr="003372B8" w14:paraId="1F4F1047"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4602A37D" w14:textId="206143C2">
            <w:r w:rsidRPr="4C30C4F4">
              <w:rPr>
                <w:rFonts w:ascii="Calibri" w:hAnsi="Calibri" w:eastAsia="Calibri" w:cs="Calibri"/>
                <w:color w:val="000000" w:themeColor="text1"/>
              </w:rPr>
              <w:t>HUGGG</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2D4CC1B6" w14:textId="69851C40">
            <w:r w:rsidRPr="4C30C4F4">
              <w:rPr>
                <w:rFonts w:ascii="Calibri" w:hAnsi="Calibri" w:eastAsia="Calibri" w:cs="Calibri"/>
                <w:color w:val="000000" w:themeColor="text1"/>
              </w:rPr>
              <w:t>2,821,832</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RDefault="4C30C4F4" w14:paraId="32C13FCE" w14:textId="37414AEE"/>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15C3DA21" w14:textId="6E894A7D">
            <w:r w:rsidRPr="4C30C4F4">
              <w:rPr>
                <w:rFonts w:ascii="Calibri" w:hAnsi="Calibri" w:eastAsia="Calibri" w:cs="Calibri"/>
                <w:color w:val="000000" w:themeColor="text1"/>
              </w:rPr>
              <w:t>Not on Contract register</w:t>
            </w:r>
          </w:p>
        </w:tc>
      </w:tr>
      <w:tr w:rsidR="4C30C4F4" w:rsidTr="003372B8" w14:paraId="0CBA6A0A"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076B085A" w14:textId="5FC634C8">
            <w:r w:rsidRPr="4C30C4F4">
              <w:rPr>
                <w:rFonts w:ascii="Calibri" w:hAnsi="Calibri" w:eastAsia="Calibri" w:cs="Calibri"/>
                <w:color w:val="000000" w:themeColor="text1"/>
              </w:rPr>
              <w:t>Active Luton</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03282E8B" w14:textId="3FBC9CD6">
            <w:r w:rsidRPr="4C30C4F4">
              <w:rPr>
                <w:rFonts w:ascii="Calibri" w:hAnsi="Calibri" w:eastAsia="Calibri" w:cs="Calibri"/>
                <w:color w:val="000000" w:themeColor="text1"/>
              </w:rPr>
              <w:t>2,678,204</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78F566F6" w14:textId="0475CF55">
            <w:r w:rsidRPr="4C30C4F4">
              <w:rPr>
                <w:rFonts w:ascii="Calibri" w:hAnsi="Calibri" w:eastAsia="Calibri" w:cs="Calibri"/>
                <w:color w:val="000000" w:themeColor="text1"/>
              </w:rPr>
              <w:t>66,030</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706951F0" w14:textId="606E0B7C">
            <w:r w:rsidRPr="4C30C4F4">
              <w:rPr>
                <w:rFonts w:ascii="Calibri" w:hAnsi="Calibri" w:eastAsia="Calibri" w:cs="Calibri"/>
                <w:color w:val="000000" w:themeColor="text1"/>
              </w:rPr>
              <w:t>Not on Contract register</w:t>
            </w:r>
          </w:p>
        </w:tc>
      </w:tr>
      <w:tr w:rsidR="4C30C4F4" w:rsidTr="003372B8" w14:paraId="774E8AC9"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27B8124E" w14:textId="068BF91F">
            <w:r w:rsidRPr="4C30C4F4">
              <w:rPr>
                <w:rFonts w:ascii="Calibri" w:hAnsi="Calibri" w:eastAsia="Calibri" w:cs="Calibri"/>
                <w:color w:val="000000" w:themeColor="text1"/>
              </w:rPr>
              <w:t>8APT Care Ltd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58772AAE" w14:textId="165F5D93">
            <w:r w:rsidRPr="4C30C4F4">
              <w:rPr>
                <w:rFonts w:ascii="Calibri" w:hAnsi="Calibri" w:eastAsia="Calibri" w:cs="Calibri"/>
                <w:color w:val="000000" w:themeColor="text1"/>
              </w:rPr>
              <w:t>2,581,804</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151445E" w14:textId="777727FE">
            <w:r w:rsidRPr="4C30C4F4">
              <w:rPr>
                <w:rFonts w:ascii="Calibri" w:hAnsi="Calibri" w:eastAsia="Calibri" w:cs="Calibri"/>
                <w:color w:val="000000" w:themeColor="text1"/>
              </w:rPr>
              <w:t>18,980</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4EC53AC" w14:textId="0760E4B5">
            <w:r w:rsidRPr="4C30C4F4">
              <w:rPr>
                <w:rFonts w:ascii="Calibri" w:hAnsi="Calibri" w:eastAsia="Calibri" w:cs="Calibri"/>
                <w:color w:val="000000" w:themeColor="text1"/>
              </w:rPr>
              <w:t>2025</w:t>
            </w:r>
          </w:p>
        </w:tc>
      </w:tr>
      <w:tr w:rsidR="4C30C4F4" w:rsidTr="003372B8" w14:paraId="34B1D89F"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1C8CACC1" w14:textId="3E4575AC">
            <w:r w:rsidRPr="4C30C4F4">
              <w:rPr>
                <w:rFonts w:ascii="Calibri" w:hAnsi="Calibri" w:eastAsia="Calibri" w:cs="Calibri"/>
                <w:color w:val="000000" w:themeColor="text1"/>
              </w:rPr>
              <w:t>Travis Perkins Trading Co Ltd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A72B7F7" w14:textId="6BCF4AA4">
            <w:r w:rsidRPr="4C30C4F4">
              <w:rPr>
                <w:rFonts w:ascii="Calibri" w:hAnsi="Calibri" w:eastAsia="Calibri" w:cs="Calibri"/>
                <w:color w:val="000000" w:themeColor="text1"/>
              </w:rPr>
              <w:t>2,267,943</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RDefault="4C30C4F4" w14:paraId="3D24EB43" w14:textId="498CC701"/>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541AD509" w14:textId="4D6874F4">
            <w:r w:rsidRPr="4C30C4F4">
              <w:rPr>
                <w:rFonts w:ascii="Calibri" w:hAnsi="Calibri" w:eastAsia="Calibri" w:cs="Calibri"/>
                <w:color w:val="000000" w:themeColor="text1"/>
              </w:rPr>
              <w:t>2025</w:t>
            </w:r>
          </w:p>
        </w:tc>
      </w:tr>
      <w:tr w:rsidR="4C30C4F4" w:rsidTr="003372B8" w14:paraId="5698FD2B"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04F53F7B" w14:textId="05E505F1">
            <w:r w:rsidRPr="4C30C4F4">
              <w:rPr>
                <w:rFonts w:ascii="Calibri" w:hAnsi="Calibri" w:eastAsia="Calibri" w:cs="Calibri"/>
                <w:color w:val="000000" w:themeColor="text1"/>
              </w:rPr>
              <w:t>Hilton Garden Inn</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6021E6AE" w14:textId="52D3D43C">
            <w:r w:rsidRPr="4C30C4F4">
              <w:rPr>
                <w:rFonts w:ascii="Calibri" w:hAnsi="Calibri" w:eastAsia="Calibri" w:cs="Calibri"/>
                <w:color w:val="000000" w:themeColor="text1"/>
              </w:rPr>
              <w:t>2,202,810</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447906D9" w14:textId="3CF56472">
            <w:r w:rsidRPr="4C30C4F4">
              <w:rPr>
                <w:rFonts w:ascii="Calibri" w:hAnsi="Calibri" w:eastAsia="Calibri" w:cs="Calibri"/>
                <w:color w:val="000000" w:themeColor="text1"/>
              </w:rPr>
              <w:t>18,180</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8D87AC8" w14:textId="2A7CBA3C">
            <w:r w:rsidRPr="4C30C4F4">
              <w:rPr>
                <w:rFonts w:ascii="Calibri" w:hAnsi="Calibri" w:eastAsia="Calibri" w:cs="Calibri"/>
                <w:color w:val="000000" w:themeColor="text1"/>
              </w:rPr>
              <w:t>Not on Contract register</w:t>
            </w:r>
          </w:p>
        </w:tc>
      </w:tr>
      <w:tr w:rsidR="4C30C4F4" w:rsidTr="003372B8" w14:paraId="5C1FED7C"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0F3BB0D3" w14:textId="35585E8D">
            <w:r w:rsidRPr="4C30C4F4">
              <w:rPr>
                <w:rFonts w:ascii="Calibri" w:hAnsi="Calibri" w:eastAsia="Calibri" w:cs="Calibri"/>
                <w:color w:val="000000" w:themeColor="text1"/>
              </w:rPr>
              <w:t>Apex Homes Limited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4A19E026" w14:textId="1E4161F0">
            <w:r w:rsidRPr="4C30C4F4">
              <w:rPr>
                <w:rFonts w:ascii="Calibri" w:hAnsi="Calibri" w:eastAsia="Calibri" w:cs="Calibri"/>
                <w:color w:val="000000" w:themeColor="text1"/>
              </w:rPr>
              <w:t>1,949,780</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0F3F767A" w14:textId="17EDFBAD">
            <w:r w:rsidRPr="4C30C4F4">
              <w:rPr>
                <w:rFonts w:ascii="Calibri" w:hAnsi="Calibri" w:eastAsia="Calibri" w:cs="Calibri"/>
                <w:color w:val="000000" w:themeColor="text1"/>
              </w:rPr>
              <w:t>41,413</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4C84307E" w14:textId="4626FE64">
            <w:r w:rsidRPr="4C30C4F4">
              <w:rPr>
                <w:rFonts w:ascii="Calibri" w:hAnsi="Calibri" w:eastAsia="Calibri" w:cs="Calibri"/>
                <w:color w:val="000000" w:themeColor="text1"/>
              </w:rPr>
              <w:t>Not on Contract register</w:t>
            </w:r>
          </w:p>
        </w:tc>
      </w:tr>
      <w:tr w:rsidR="4C30C4F4" w:rsidTr="003372B8" w14:paraId="3AF57F61"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4E88257E" w14:textId="55653E8F">
            <w:r w:rsidRPr="4C30C4F4">
              <w:rPr>
                <w:rFonts w:ascii="Calibri" w:hAnsi="Calibri" w:eastAsia="Calibri" w:cs="Calibri"/>
                <w:color w:val="000000" w:themeColor="text1"/>
              </w:rPr>
              <w:t>Westminster Home Care</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97162AE" w14:textId="3E512377">
            <w:r w:rsidRPr="4C30C4F4">
              <w:rPr>
                <w:rFonts w:ascii="Calibri" w:hAnsi="Calibri" w:eastAsia="Calibri" w:cs="Calibri"/>
                <w:color w:val="000000" w:themeColor="text1"/>
              </w:rPr>
              <w:t>1,817,653</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0C7003D5" w14:textId="179B4AFF">
            <w:r w:rsidRPr="4C30C4F4">
              <w:rPr>
                <w:rFonts w:ascii="Calibri" w:hAnsi="Calibri" w:eastAsia="Calibri" w:cs="Calibri"/>
                <w:color w:val="000000" w:themeColor="text1"/>
              </w:rPr>
              <w:t>53,125</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4BD46E44" w14:textId="6A4D583D">
            <w:r w:rsidRPr="4C30C4F4">
              <w:rPr>
                <w:rFonts w:ascii="Calibri" w:hAnsi="Calibri" w:eastAsia="Calibri" w:cs="Calibri"/>
                <w:color w:val="000000" w:themeColor="text1"/>
              </w:rPr>
              <w:t>2023</w:t>
            </w:r>
          </w:p>
        </w:tc>
      </w:tr>
      <w:tr w:rsidR="4C30C4F4" w:rsidTr="003372B8" w14:paraId="1A2804FA"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09FD96F" w14:textId="74EC6A42">
            <w:r w:rsidRPr="4C30C4F4">
              <w:rPr>
                <w:rFonts w:ascii="Calibri" w:hAnsi="Calibri" w:eastAsia="Calibri" w:cs="Calibri"/>
                <w:color w:val="000000" w:themeColor="text1"/>
              </w:rPr>
              <w:t>COMFORT ZONE CARE SERVICES LTD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4BCCDDAF" w14:textId="392DA8F2">
            <w:r w:rsidRPr="4C30C4F4">
              <w:rPr>
                <w:rFonts w:ascii="Calibri" w:hAnsi="Calibri" w:eastAsia="Calibri" w:cs="Calibri"/>
                <w:color w:val="000000" w:themeColor="text1"/>
              </w:rPr>
              <w:t>1,789,585</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286D6BFC" w14:textId="59531933">
            <w:r w:rsidRPr="4C30C4F4">
              <w:rPr>
                <w:rFonts w:ascii="Calibri" w:hAnsi="Calibri" w:eastAsia="Calibri" w:cs="Calibri"/>
                <w:color w:val="000000" w:themeColor="text1"/>
              </w:rPr>
              <w:t>14,303</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492BF0AA" w14:textId="1E1BD01F">
            <w:r w:rsidRPr="4C30C4F4">
              <w:rPr>
                <w:rFonts w:ascii="Calibri" w:hAnsi="Calibri" w:eastAsia="Calibri" w:cs="Calibri"/>
                <w:color w:val="000000" w:themeColor="text1"/>
              </w:rPr>
              <w:t>2023</w:t>
            </w:r>
          </w:p>
        </w:tc>
      </w:tr>
      <w:tr w:rsidR="4C30C4F4" w:rsidTr="003372B8" w14:paraId="4233B8C6"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3BCDBEDE" w14:textId="1AE4F4A7">
            <w:r w:rsidRPr="4C30C4F4">
              <w:rPr>
                <w:rFonts w:ascii="Calibri" w:hAnsi="Calibri" w:eastAsia="Calibri" w:cs="Calibri"/>
                <w:color w:val="000000" w:themeColor="text1"/>
              </w:rPr>
              <w:t>Walsingham Support</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BC54AA1" w14:textId="38CF1A8D">
            <w:r w:rsidRPr="4C30C4F4">
              <w:rPr>
                <w:rFonts w:ascii="Calibri" w:hAnsi="Calibri" w:eastAsia="Calibri" w:cs="Calibri"/>
                <w:color w:val="000000" w:themeColor="text1"/>
              </w:rPr>
              <w:t>1,764,469</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RDefault="4C30C4F4" w14:paraId="786705F2" w14:textId="682A6D0E"/>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41815819" w14:textId="59727972">
            <w:r w:rsidRPr="4C30C4F4">
              <w:rPr>
                <w:rFonts w:ascii="Calibri" w:hAnsi="Calibri" w:eastAsia="Calibri" w:cs="Calibri"/>
                <w:color w:val="000000" w:themeColor="text1"/>
              </w:rPr>
              <w:t>Not on Contract register</w:t>
            </w:r>
          </w:p>
        </w:tc>
      </w:tr>
      <w:tr w:rsidR="4C30C4F4" w:rsidTr="003372B8" w14:paraId="327B19D5"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FC79052" w14:textId="266A7F33">
            <w:r w:rsidRPr="4C30C4F4">
              <w:rPr>
                <w:rFonts w:ascii="Calibri" w:hAnsi="Calibri" w:eastAsia="Calibri" w:cs="Calibri"/>
                <w:color w:val="000000" w:themeColor="text1"/>
              </w:rPr>
              <w:t>ITRUST AGENCY LIMITED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7EDE749E" w14:textId="193BA71B">
            <w:r w:rsidRPr="4C30C4F4">
              <w:rPr>
                <w:rFonts w:ascii="Calibri" w:hAnsi="Calibri" w:eastAsia="Calibri" w:cs="Calibri"/>
                <w:color w:val="000000" w:themeColor="text1"/>
              </w:rPr>
              <w:t>1,741,711</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RDefault="4C30C4F4" w14:paraId="32515340" w14:textId="08B09109"/>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25188407" w14:textId="38DD8C61">
            <w:r w:rsidRPr="4C30C4F4">
              <w:rPr>
                <w:rFonts w:ascii="Calibri" w:hAnsi="Calibri" w:eastAsia="Calibri" w:cs="Calibri"/>
                <w:color w:val="000000" w:themeColor="text1"/>
              </w:rPr>
              <w:t>Not on Contract register</w:t>
            </w:r>
          </w:p>
        </w:tc>
      </w:tr>
      <w:tr w:rsidR="4C30C4F4" w:rsidTr="003372B8" w14:paraId="28916EB2"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3F1A602C" w14:textId="7C4DF6EA">
            <w:r w:rsidRPr="4C30C4F4">
              <w:rPr>
                <w:rFonts w:ascii="Calibri" w:hAnsi="Calibri" w:eastAsia="Calibri" w:cs="Calibri"/>
                <w:color w:val="000000" w:themeColor="text1"/>
              </w:rPr>
              <w:t>Churchill Health Care</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AF61DB7" w14:textId="1E2EB766">
            <w:r w:rsidRPr="4C30C4F4">
              <w:rPr>
                <w:rFonts w:ascii="Calibri" w:hAnsi="Calibri" w:eastAsia="Calibri" w:cs="Calibri"/>
                <w:color w:val="000000" w:themeColor="text1"/>
              </w:rPr>
              <w:t>1,731,777</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5967C9E1" w14:textId="0D3712CF">
            <w:r w:rsidRPr="4C30C4F4">
              <w:rPr>
                <w:rFonts w:ascii="Calibri" w:hAnsi="Calibri" w:eastAsia="Calibri" w:cs="Calibri"/>
                <w:color w:val="000000" w:themeColor="text1"/>
              </w:rPr>
              <w:t>22,989</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00004436" w14:textId="71FB63CA">
            <w:r w:rsidRPr="4C30C4F4">
              <w:rPr>
                <w:rFonts w:ascii="Calibri" w:hAnsi="Calibri" w:eastAsia="Calibri" w:cs="Calibri"/>
                <w:color w:val="000000" w:themeColor="text1"/>
              </w:rPr>
              <w:t>2030</w:t>
            </w:r>
          </w:p>
        </w:tc>
      </w:tr>
      <w:tr w:rsidR="4C30C4F4" w:rsidTr="003372B8" w14:paraId="0F61CF2B"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59F3EC5B" w14:textId="0CE49530">
            <w:r w:rsidRPr="4C30C4F4">
              <w:rPr>
                <w:rFonts w:ascii="Calibri" w:hAnsi="Calibri" w:eastAsia="Calibri" w:cs="Calibri"/>
                <w:color w:val="000000" w:themeColor="text1"/>
              </w:rPr>
              <w:t>HC-One Oval Limited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7217AC29" w14:textId="67F9DB63">
            <w:r w:rsidRPr="4C30C4F4">
              <w:rPr>
                <w:rFonts w:ascii="Calibri" w:hAnsi="Calibri" w:eastAsia="Calibri" w:cs="Calibri"/>
                <w:color w:val="000000" w:themeColor="text1"/>
              </w:rPr>
              <w:t>1,728,301</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40AC1D44" w14:textId="4CC3126A">
            <w:r w:rsidRPr="4C30C4F4">
              <w:rPr>
                <w:rFonts w:ascii="Calibri" w:hAnsi="Calibri" w:eastAsia="Calibri" w:cs="Calibri"/>
                <w:color w:val="000000" w:themeColor="text1"/>
              </w:rPr>
              <w:t>7,144</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7A2F02FF" w14:textId="244E5C74">
            <w:r w:rsidRPr="4C30C4F4">
              <w:rPr>
                <w:rFonts w:ascii="Calibri" w:hAnsi="Calibri" w:eastAsia="Calibri" w:cs="Calibri"/>
                <w:color w:val="000000" w:themeColor="text1"/>
              </w:rPr>
              <w:t>Not on Contract register</w:t>
            </w:r>
          </w:p>
        </w:tc>
      </w:tr>
      <w:tr w:rsidR="4C30C4F4" w:rsidTr="003372B8" w14:paraId="1DEB1174"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33AE8F60" w14:textId="28C9900C">
            <w:r w:rsidRPr="4C30C4F4">
              <w:rPr>
                <w:rFonts w:ascii="Calibri" w:hAnsi="Calibri" w:eastAsia="Calibri" w:cs="Calibri"/>
                <w:color w:val="000000" w:themeColor="text1"/>
              </w:rPr>
              <w:t>Dilshan Transport Group Ltd</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26F954FD" w14:textId="17A650BB">
            <w:r w:rsidRPr="4C30C4F4">
              <w:rPr>
                <w:rFonts w:ascii="Calibri" w:hAnsi="Calibri" w:eastAsia="Calibri" w:cs="Calibri"/>
                <w:color w:val="000000" w:themeColor="text1"/>
              </w:rPr>
              <w:t>1,659,984</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RDefault="4C30C4F4" w14:paraId="27AA31FF" w14:textId="7C784556"/>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0D90A1D6" w14:textId="312CF770">
            <w:r w:rsidRPr="4C30C4F4">
              <w:rPr>
                <w:rFonts w:ascii="Calibri" w:hAnsi="Calibri" w:eastAsia="Calibri" w:cs="Calibri"/>
                <w:color w:val="000000" w:themeColor="text1"/>
              </w:rPr>
              <w:t>Not on Contract register</w:t>
            </w:r>
          </w:p>
        </w:tc>
      </w:tr>
      <w:tr w:rsidR="4C30C4F4" w:rsidTr="003372B8" w14:paraId="3F4AE45C"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025D84AC" w14:textId="07CB2D33">
            <w:proofErr w:type="spellStart"/>
            <w:r w:rsidRPr="4C30C4F4">
              <w:rPr>
                <w:rFonts w:ascii="Calibri" w:hAnsi="Calibri" w:eastAsia="Calibri" w:cs="Calibri"/>
                <w:color w:val="000000" w:themeColor="text1"/>
              </w:rPr>
              <w:t>Runwood</w:t>
            </w:r>
            <w:proofErr w:type="spellEnd"/>
            <w:r w:rsidRPr="4C30C4F4">
              <w:rPr>
                <w:rFonts w:ascii="Calibri" w:hAnsi="Calibri" w:eastAsia="Calibri" w:cs="Calibri"/>
                <w:color w:val="000000" w:themeColor="text1"/>
              </w:rPr>
              <w:t xml:space="preserve"> Home plc</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7FF211B8" w14:textId="25CC0ABB">
            <w:r w:rsidRPr="4C30C4F4">
              <w:rPr>
                <w:rFonts w:ascii="Calibri" w:hAnsi="Calibri" w:eastAsia="Calibri" w:cs="Calibri"/>
                <w:color w:val="000000" w:themeColor="text1"/>
              </w:rPr>
              <w:t>1,653,327</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72755E71" w14:textId="10275643">
            <w:r w:rsidRPr="4C30C4F4">
              <w:rPr>
                <w:rFonts w:ascii="Calibri" w:hAnsi="Calibri" w:eastAsia="Calibri" w:cs="Calibri"/>
                <w:color w:val="000000" w:themeColor="text1"/>
              </w:rPr>
              <w:t>14,909</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4C5B189" w14:textId="372266BD">
            <w:r w:rsidRPr="4C30C4F4">
              <w:rPr>
                <w:rFonts w:ascii="Calibri" w:hAnsi="Calibri" w:eastAsia="Calibri" w:cs="Calibri"/>
                <w:color w:val="000000" w:themeColor="text1"/>
              </w:rPr>
              <w:t>Not on Contract register</w:t>
            </w:r>
          </w:p>
        </w:tc>
      </w:tr>
      <w:tr w:rsidR="4C30C4F4" w:rsidTr="003372B8" w14:paraId="6477D48D"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DB0EC57" w14:textId="1BDBDBE9">
            <w:r w:rsidRPr="4C30C4F4">
              <w:rPr>
                <w:rFonts w:ascii="Calibri" w:hAnsi="Calibri" w:eastAsia="Calibri" w:cs="Calibri"/>
                <w:color w:val="000000" w:themeColor="text1"/>
              </w:rPr>
              <w:t>The Georgiana</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8E33647" w14:textId="2D6E22E3">
            <w:r w:rsidRPr="4C30C4F4">
              <w:rPr>
                <w:rFonts w:ascii="Calibri" w:hAnsi="Calibri" w:eastAsia="Calibri" w:cs="Calibri"/>
                <w:color w:val="000000" w:themeColor="text1"/>
              </w:rPr>
              <w:t>1,548,686</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7EC3E28B" w14:textId="307EC4C4">
            <w:r w:rsidRPr="4C30C4F4">
              <w:rPr>
                <w:rFonts w:ascii="Calibri" w:hAnsi="Calibri" w:eastAsia="Calibri" w:cs="Calibri"/>
                <w:color w:val="000000" w:themeColor="text1"/>
              </w:rPr>
              <w:t>11,610</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BBF4C93" w14:textId="3BA97C87">
            <w:r w:rsidRPr="4C30C4F4">
              <w:rPr>
                <w:rFonts w:ascii="Calibri" w:hAnsi="Calibri" w:eastAsia="Calibri" w:cs="Calibri"/>
                <w:color w:val="000000" w:themeColor="text1"/>
              </w:rPr>
              <w:t>Not on Contract register</w:t>
            </w:r>
          </w:p>
        </w:tc>
      </w:tr>
      <w:tr w:rsidR="4C30C4F4" w:rsidTr="003372B8" w14:paraId="51165014"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28A390A" w14:textId="6BF68EB5">
            <w:r w:rsidRPr="4C30C4F4">
              <w:rPr>
                <w:rFonts w:ascii="Calibri" w:hAnsi="Calibri" w:eastAsia="Calibri" w:cs="Calibri"/>
                <w:color w:val="000000" w:themeColor="text1"/>
              </w:rPr>
              <w:t>Bluebird Care (Luton)</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4BFB4FF9" w14:textId="161932C3">
            <w:r w:rsidRPr="4C30C4F4">
              <w:rPr>
                <w:rFonts w:ascii="Calibri" w:hAnsi="Calibri" w:eastAsia="Calibri" w:cs="Calibri"/>
                <w:color w:val="000000" w:themeColor="text1"/>
              </w:rPr>
              <w:t>1,497,213</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0785622" w14:textId="2E9F24EE">
            <w:r w:rsidRPr="4C30C4F4">
              <w:rPr>
                <w:rFonts w:ascii="Calibri" w:hAnsi="Calibri" w:eastAsia="Calibri" w:cs="Calibri"/>
                <w:color w:val="000000" w:themeColor="text1"/>
              </w:rPr>
              <w:t>14,106</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2A63FF1E" w14:textId="773D5054">
            <w:r w:rsidRPr="4C30C4F4">
              <w:rPr>
                <w:rFonts w:ascii="Calibri" w:hAnsi="Calibri" w:eastAsia="Calibri" w:cs="Calibri"/>
                <w:color w:val="000000" w:themeColor="text1"/>
              </w:rPr>
              <w:t>2023</w:t>
            </w:r>
          </w:p>
        </w:tc>
      </w:tr>
      <w:tr w:rsidR="4C30C4F4" w:rsidTr="003372B8" w14:paraId="58FBE6DB"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037BCA84" w14:textId="6668C478">
            <w:r w:rsidRPr="4C30C4F4">
              <w:rPr>
                <w:rFonts w:ascii="Calibri" w:hAnsi="Calibri" w:eastAsia="Calibri" w:cs="Calibri"/>
                <w:color w:val="000000" w:themeColor="text1"/>
              </w:rPr>
              <w:t xml:space="preserve">NHS Bedfordshire, </w:t>
            </w:r>
            <w:proofErr w:type="gramStart"/>
            <w:r w:rsidRPr="4C30C4F4">
              <w:rPr>
                <w:rFonts w:ascii="Calibri" w:hAnsi="Calibri" w:eastAsia="Calibri" w:cs="Calibri"/>
                <w:color w:val="000000" w:themeColor="text1"/>
              </w:rPr>
              <w:t>Luton</w:t>
            </w:r>
            <w:proofErr w:type="gramEnd"/>
            <w:r w:rsidRPr="4C30C4F4">
              <w:rPr>
                <w:rFonts w:ascii="Calibri" w:hAnsi="Calibri" w:eastAsia="Calibri" w:cs="Calibri"/>
                <w:color w:val="000000" w:themeColor="text1"/>
              </w:rPr>
              <w:t xml:space="preserve"> and Milton Keynes CCG</w:t>
            </w:r>
          </w:p>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2A72C0EB" w14:textId="3FF416BE">
            <w:r w:rsidRPr="4C30C4F4">
              <w:rPr>
                <w:rFonts w:ascii="Calibri" w:hAnsi="Calibri" w:eastAsia="Calibri" w:cs="Calibri"/>
                <w:color w:val="000000" w:themeColor="text1"/>
              </w:rPr>
              <w:t>1,455,995</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33B2AFF7" w14:textId="05D96047">
            <w:r w:rsidRPr="4C30C4F4">
              <w:rPr>
                <w:rFonts w:ascii="Calibri" w:hAnsi="Calibri" w:eastAsia="Calibri" w:cs="Calibri"/>
                <w:color w:val="000000" w:themeColor="text1"/>
              </w:rPr>
              <w:t>793,726</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6E533287" w14:textId="2BFF9F31">
            <w:r w:rsidRPr="4C30C4F4">
              <w:rPr>
                <w:rFonts w:ascii="Calibri" w:hAnsi="Calibri" w:eastAsia="Calibri" w:cs="Calibri"/>
                <w:color w:val="000000" w:themeColor="text1"/>
              </w:rPr>
              <w:t>Not on Contract register</w:t>
            </w:r>
          </w:p>
        </w:tc>
      </w:tr>
      <w:tr w:rsidR="4C30C4F4" w:rsidTr="003372B8" w14:paraId="52FA30B6" w14:textId="77777777">
        <w:trPr>
          <w:trHeight w:val="300"/>
        </w:trPr>
        <w:tc>
          <w:tcPr>
            <w:tcW w:w="4555" w:type="dxa"/>
            <w:tcBorders>
              <w:top w:val="single" w:color="000000" w:themeColor="text1" w:sz="4" w:space="0"/>
              <w:left w:val="single" w:color="000000" w:themeColor="text1" w:sz="4" w:space="0"/>
              <w:bottom w:val="nil"/>
              <w:right w:val="single" w:color="000000" w:themeColor="text1" w:sz="4" w:space="0"/>
            </w:tcBorders>
            <w:tcMar>
              <w:top w:w="15" w:type="dxa"/>
              <w:left w:w="15" w:type="dxa"/>
              <w:right w:w="15" w:type="dxa"/>
            </w:tcMar>
            <w:vAlign w:val="bottom"/>
          </w:tcPr>
          <w:p w:rsidR="4C30C4F4" w:rsidP="4C30C4F4" w:rsidRDefault="4C30C4F4" w14:paraId="76E0E9A0" w14:textId="792BF4A9">
            <w:r w:rsidRPr="4C30C4F4">
              <w:rPr>
                <w:rFonts w:ascii="Calibri" w:hAnsi="Calibri" w:eastAsia="Calibri" w:cs="Calibri"/>
                <w:color w:val="000000" w:themeColor="text1"/>
              </w:rPr>
              <w:t>Integrated Fostering Services Ltd</w:t>
            </w:r>
          </w:p>
        </w:tc>
        <w:tc>
          <w:tcPr>
            <w:tcW w:w="1257" w:type="dxa"/>
            <w:tcBorders>
              <w:top w:val="single" w:color="000000" w:themeColor="text1" w:sz="4" w:space="0"/>
              <w:left w:val="single" w:color="000000" w:themeColor="text1" w:sz="4" w:space="0"/>
              <w:bottom w:val="nil"/>
              <w:right w:val="nil"/>
            </w:tcBorders>
            <w:tcMar>
              <w:top w:w="15" w:type="dxa"/>
              <w:left w:w="15" w:type="dxa"/>
              <w:right w:w="15" w:type="dxa"/>
            </w:tcMar>
            <w:vAlign w:val="bottom"/>
          </w:tcPr>
          <w:p w:rsidR="4C30C4F4" w:rsidP="4C30C4F4" w:rsidRDefault="4C30C4F4" w14:paraId="0FEFF534" w14:textId="24810C98">
            <w:r w:rsidRPr="4C30C4F4">
              <w:rPr>
                <w:rFonts w:ascii="Calibri" w:hAnsi="Calibri" w:eastAsia="Calibri" w:cs="Calibri"/>
                <w:color w:val="000000" w:themeColor="text1"/>
              </w:rPr>
              <w:t>1,362,220</w:t>
            </w:r>
          </w:p>
        </w:tc>
        <w:tc>
          <w:tcPr>
            <w:tcW w:w="1303" w:type="dxa"/>
            <w:tcBorders>
              <w:top w:val="single" w:color="000000" w:themeColor="text1" w:sz="4" w:space="0"/>
              <w:left w:val="single" w:color="000000" w:themeColor="text1" w:sz="4" w:space="0"/>
              <w:bottom w:val="nil"/>
              <w:right w:val="nil"/>
            </w:tcBorders>
            <w:tcMar>
              <w:top w:w="15" w:type="dxa"/>
              <w:left w:w="15" w:type="dxa"/>
              <w:right w:w="15" w:type="dxa"/>
            </w:tcMar>
            <w:vAlign w:val="bottom"/>
          </w:tcPr>
          <w:p w:rsidR="4C30C4F4" w:rsidRDefault="4C30C4F4" w14:paraId="75640BA2" w14:textId="349C87CE"/>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P="4C30C4F4" w:rsidRDefault="4C30C4F4" w14:paraId="3732FE55" w14:textId="3ABF0FC5">
            <w:r w:rsidRPr="4C30C4F4">
              <w:rPr>
                <w:rFonts w:ascii="Calibri" w:hAnsi="Calibri" w:eastAsia="Calibri" w:cs="Calibri"/>
                <w:color w:val="000000" w:themeColor="text1"/>
              </w:rPr>
              <w:t>2025</w:t>
            </w:r>
          </w:p>
        </w:tc>
      </w:tr>
      <w:tr w:rsidR="4C30C4F4" w:rsidTr="003372B8" w14:paraId="2BAAD143" w14:textId="77777777">
        <w:trPr>
          <w:trHeight w:val="300"/>
        </w:trPr>
        <w:tc>
          <w:tcPr>
            <w:tcW w:w="45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RDefault="4C30C4F4" w14:paraId="4F83F94C" w14:textId="20D0F43B"/>
        </w:tc>
        <w:tc>
          <w:tcPr>
            <w:tcW w:w="1257"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156A7AD3" w14:textId="23CE9C89">
            <w:r w:rsidRPr="4C30C4F4">
              <w:rPr>
                <w:rFonts w:ascii="Calibri" w:hAnsi="Calibri" w:eastAsia="Calibri" w:cs="Calibri"/>
                <w:b/>
                <w:bCs/>
                <w:color w:val="000000" w:themeColor="text1"/>
              </w:rPr>
              <w:t>49,837,401</w:t>
            </w:r>
          </w:p>
        </w:tc>
        <w:tc>
          <w:tcPr>
            <w:tcW w:w="1303" w:type="dxa"/>
            <w:tcBorders>
              <w:top w:val="single" w:color="000000" w:themeColor="text1" w:sz="4" w:space="0"/>
              <w:left w:val="single" w:color="000000" w:themeColor="text1" w:sz="4" w:space="0"/>
              <w:bottom w:val="single" w:color="000000" w:themeColor="text1" w:sz="4" w:space="0"/>
              <w:right w:val="nil"/>
            </w:tcBorders>
            <w:tcMar>
              <w:top w:w="15" w:type="dxa"/>
              <w:left w:w="15" w:type="dxa"/>
              <w:right w:w="15" w:type="dxa"/>
            </w:tcMar>
            <w:vAlign w:val="bottom"/>
          </w:tcPr>
          <w:p w:rsidR="4C30C4F4" w:rsidP="4C30C4F4" w:rsidRDefault="4C30C4F4" w14:paraId="1FF2848E" w14:textId="55B8075D">
            <w:r w:rsidRPr="4C30C4F4">
              <w:rPr>
                <w:rFonts w:ascii="Calibri" w:hAnsi="Calibri" w:eastAsia="Calibri" w:cs="Calibri"/>
                <w:b/>
                <w:bCs/>
                <w:color w:val="000000" w:themeColor="text1"/>
              </w:rPr>
              <w:t>12,116,298</w:t>
            </w:r>
          </w:p>
        </w:tc>
        <w:tc>
          <w:tcPr>
            <w:tcW w:w="21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C30C4F4" w:rsidRDefault="4C30C4F4" w14:paraId="14FC08A7" w14:textId="26C5D9BB"/>
        </w:tc>
      </w:tr>
    </w:tbl>
    <w:p w:rsidR="4C30C4F4" w:rsidP="4C30C4F4" w:rsidRDefault="4C30C4F4" w14:paraId="132EC1F6" w14:textId="32244C5C">
      <w:pPr>
        <w:pStyle w:val="ListParagraph"/>
        <w:ind w:left="0"/>
        <w:rPr>
          <w:rFonts w:ascii="Arial" w:hAnsi="Arial" w:cs="Arial"/>
          <w:sz w:val="20"/>
          <w:szCs w:val="20"/>
        </w:rPr>
      </w:pPr>
    </w:p>
    <w:p w:rsidR="4C30C4F4" w:rsidP="4C30C4F4" w:rsidRDefault="4C30C4F4" w14:paraId="73AF2319" w14:textId="7D5A87E1">
      <w:pPr>
        <w:pStyle w:val="ListParagraph"/>
        <w:ind w:left="0"/>
        <w:rPr>
          <w:rFonts w:ascii="Arial" w:hAnsi="Arial" w:cs="Arial"/>
          <w:sz w:val="20"/>
          <w:szCs w:val="20"/>
        </w:rPr>
      </w:pPr>
    </w:p>
    <w:p w:rsidR="1A5CBAFB" w:rsidP="4C30C4F4" w:rsidRDefault="1A5CBAFB" w14:paraId="7255BD30" w14:textId="26E69B77">
      <w:pPr>
        <w:pStyle w:val="ListParagraph"/>
        <w:ind w:left="0"/>
        <w:rPr>
          <w:rFonts w:ascii="Arial" w:hAnsi="Arial" w:cs="Arial"/>
          <w:sz w:val="20"/>
          <w:szCs w:val="20"/>
        </w:rPr>
      </w:pPr>
      <w:r w:rsidRPr="4C30C4F4">
        <w:rPr>
          <w:rFonts w:ascii="Arial" w:hAnsi="Arial" w:cs="Arial"/>
          <w:sz w:val="20"/>
          <w:szCs w:val="20"/>
        </w:rPr>
        <w:t>The contracts not listed on the contract register could be resultant from variations in recording of company names</w:t>
      </w:r>
      <w:r w:rsidRPr="4C30C4F4" w:rsidR="4350288C">
        <w:rPr>
          <w:rFonts w:ascii="Arial" w:hAnsi="Arial" w:cs="Arial"/>
          <w:sz w:val="20"/>
          <w:szCs w:val="20"/>
        </w:rPr>
        <w:t xml:space="preserve"> or</w:t>
      </w:r>
      <w:r w:rsidRPr="4C30C4F4">
        <w:rPr>
          <w:rFonts w:ascii="Arial" w:hAnsi="Arial" w:cs="Arial"/>
          <w:sz w:val="20"/>
          <w:szCs w:val="20"/>
        </w:rPr>
        <w:t xml:space="preserve"> contracts not being formally added to the contract register</w:t>
      </w:r>
      <w:r w:rsidRPr="4C30C4F4" w:rsidR="7BE5B475">
        <w:rPr>
          <w:rFonts w:ascii="Arial" w:hAnsi="Arial" w:cs="Arial"/>
          <w:sz w:val="20"/>
          <w:szCs w:val="20"/>
        </w:rPr>
        <w:t>. This data was also checked to see if they had a DN Reference which indicates they may not have been added onto the Council</w:t>
      </w:r>
      <w:r w:rsidRPr="4C30C4F4" w:rsidR="63FDB5F3">
        <w:rPr>
          <w:rFonts w:ascii="Arial" w:hAnsi="Arial" w:cs="Arial"/>
          <w:sz w:val="20"/>
          <w:szCs w:val="20"/>
        </w:rPr>
        <w:t xml:space="preserve">’s procurement system. An absence of recording would inhibit </w:t>
      </w:r>
      <w:r w:rsidRPr="4C30C4F4" w:rsidR="00FC56E0">
        <w:rPr>
          <w:rFonts w:ascii="Arial" w:hAnsi="Arial" w:cs="Arial"/>
          <w:sz w:val="20"/>
          <w:szCs w:val="20"/>
        </w:rPr>
        <w:t>oversight and</w:t>
      </w:r>
      <w:r w:rsidRPr="4C30C4F4" w:rsidR="63FDB5F3">
        <w:rPr>
          <w:rFonts w:ascii="Arial" w:hAnsi="Arial" w:cs="Arial"/>
          <w:sz w:val="20"/>
          <w:szCs w:val="20"/>
        </w:rPr>
        <w:t xml:space="preserve"> would be a priority to ensure all high value contracts are recorded correctly and are published on the public facing contract register and p</w:t>
      </w:r>
      <w:r w:rsidRPr="4C30C4F4" w:rsidR="0A8DA79D">
        <w:rPr>
          <w:rFonts w:ascii="Arial" w:hAnsi="Arial" w:cs="Arial"/>
          <w:sz w:val="20"/>
          <w:szCs w:val="20"/>
        </w:rPr>
        <w:t>ipeline. By October 2024 a pipeline should be published for over threshold contracts 18 months in advance of the contract end date.</w:t>
      </w:r>
    </w:p>
    <w:p w:rsidR="4C30C4F4" w:rsidP="4C30C4F4" w:rsidRDefault="4C30C4F4" w14:paraId="0BC2CBF5" w14:textId="5F22FE4C">
      <w:pPr>
        <w:pStyle w:val="ListParagraph"/>
        <w:ind w:left="0"/>
        <w:rPr>
          <w:rFonts w:ascii="Arial" w:hAnsi="Arial" w:cs="Arial"/>
          <w:sz w:val="20"/>
          <w:szCs w:val="20"/>
        </w:rPr>
      </w:pPr>
    </w:p>
    <w:p w:rsidR="00C8194B" w:rsidP="714252C5" w:rsidRDefault="51113CF8" w14:paraId="102C27AC" w14:textId="52B97F63">
      <w:pPr>
        <w:pStyle w:val="ListParagraph"/>
        <w:ind w:left="0"/>
        <w:rPr>
          <w:rFonts w:ascii="Arial" w:hAnsi="Arial" w:cs="Arial"/>
          <w:sz w:val="20"/>
          <w:szCs w:val="20"/>
        </w:rPr>
      </w:pPr>
      <w:r w:rsidRPr="4C30C4F4">
        <w:rPr>
          <w:rFonts w:ascii="Arial" w:hAnsi="Arial" w:cs="Arial"/>
          <w:sz w:val="20"/>
          <w:szCs w:val="20"/>
        </w:rPr>
        <w:t xml:space="preserve">We </w:t>
      </w:r>
      <w:r w:rsidRPr="4C30C4F4" w:rsidR="1E8D5E80">
        <w:rPr>
          <w:rFonts w:ascii="Arial" w:hAnsi="Arial" w:cs="Arial"/>
          <w:sz w:val="20"/>
          <w:szCs w:val="20"/>
        </w:rPr>
        <w:t>note that</w:t>
      </w:r>
      <w:r w:rsidRPr="4C30C4F4">
        <w:rPr>
          <w:rFonts w:ascii="Arial" w:hAnsi="Arial" w:cs="Arial"/>
          <w:sz w:val="20"/>
          <w:szCs w:val="20"/>
        </w:rPr>
        <w:t xml:space="preserve"> there are</w:t>
      </w:r>
      <w:r w:rsidRPr="4C30C4F4" w:rsidR="6F795B73">
        <w:rPr>
          <w:rFonts w:ascii="Arial" w:hAnsi="Arial" w:cs="Arial"/>
          <w:sz w:val="20"/>
          <w:szCs w:val="20"/>
        </w:rPr>
        <w:t xml:space="preserve"> 20</w:t>
      </w:r>
      <w:r w:rsidRPr="4C30C4F4" w:rsidR="6B5C71AF">
        <w:rPr>
          <w:rFonts w:ascii="Arial" w:hAnsi="Arial" w:cs="Arial"/>
          <w:sz w:val="20"/>
          <w:szCs w:val="20"/>
        </w:rPr>
        <w:t xml:space="preserve"> significantly large contracts in</w:t>
      </w:r>
      <w:r w:rsidRPr="4C30C4F4" w:rsidR="2E2E0016">
        <w:rPr>
          <w:rFonts w:ascii="Arial" w:hAnsi="Arial" w:cs="Arial"/>
          <w:sz w:val="20"/>
          <w:szCs w:val="20"/>
        </w:rPr>
        <w:t>-</w:t>
      </w:r>
      <w:r w:rsidRPr="4C30C4F4" w:rsidR="6B5C71AF">
        <w:rPr>
          <w:rFonts w:ascii="Arial" w:hAnsi="Arial" w:cs="Arial"/>
          <w:sz w:val="20"/>
          <w:szCs w:val="20"/>
        </w:rPr>
        <w:t>play w</w:t>
      </w:r>
      <w:r w:rsidRPr="4C30C4F4" w:rsidR="586C26D1">
        <w:rPr>
          <w:rFonts w:ascii="Arial" w:hAnsi="Arial" w:cs="Arial"/>
          <w:sz w:val="20"/>
          <w:szCs w:val="20"/>
        </w:rPr>
        <w:t>hich would be an optimum starting point for contract</w:t>
      </w:r>
      <w:r w:rsidRPr="4C30C4F4" w:rsidR="11317FA4">
        <w:rPr>
          <w:rFonts w:ascii="Arial" w:hAnsi="Arial" w:cs="Arial"/>
          <w:sz w:val="20"/>
          <w:szCs w:val="20"/>
        </w:rPr>
        <w:t xml:space="preserve"> management to lever value with suppliers.</w:t>
      </w:r>
      <w:r w:rsidRPr="4C30C4F4" w:rsidR="44A04E65">
        <w:rPr>
          <w:rFonts w:ascii="Arial" w:hAnsi="Arial" w:cs="Arial"/>
          <w:sz w:val="20"/>
          <w:szCs w:val="20"/>
        </w:rPr>
        <w:t xml:space="preserve"> In the absence of a codified category management and contract segmentation approach it would be prudent to review the highest valued contracts with their corresponding suppliers until </w:t>
      </w:r>
      <w:r w:rsidRPr="4C30C4F4" w:rsidR="4C21652E">
        <w:rPr>
          <w:rFonts w:ascii="Arial" w:hAnsi="Arial" w:cs="Arial"/>
          <w:sz w:val="20"/>
          <w:szCs w:val="20"/>
        </w:rPr>
        <w:t>s</w:t>
      </w:r>
      <w:r w:rsidRPr="4C30C4F4" w:rsidR="44A04E65">
        <w:rPr>
          <w:rFonts w:ascii="Arial" w:hAnsi="Arial" w:cs="Arial"/>
          <w:sz w:val="20"/>
          <w:szCs w:val="20"/>
        </w:rPr>
        <w:t xml:space="preserve">uch a point a Procurement TOM is </w:t>
      </w:r>
      <w:r w:rsidRPr="4C30C4F4" w:rsidR="7196D672">
        <w:rPr>
          <w:rFonts w:ascii="Arial" w:hAnsi="Arial" w:cs="Arial"/>
          <w:sz w:val="20"/>
          <w:szCs w:val="20"/>
        </w:rPr>
        <w:t>in-play.</w:t>
      </w:r>
    </w:p>
    <w:p w:rsidR="4C30C4F4" w:rsidP="4C30C4F4" w:rsidRDefault="4C30C4F4" w14:paraId="45BDB9E3" w14:textId="2CB860F6">
      <w:pPr>
        <w:pStyle w:val="ListParagraph"/>
        <w:ind w:left="0"/>
        <w:rPr>
          <w:rFonts w:ascii="Arial" w:hAnsi="Arial" w:cs="Arial"/>
          <w:sz w:val="20"/>
          <w:szCs w:val="20"/>
        </w:rPr>
      </w:pPr>
    </w:p>
    <w:p w:rsidR="3F3AEBE7" w:rsidP="4C30C4F4" w:rsidRDefault="3F3AEBE7" w14:paraId="50DA7A10" w14:textId="4981D186">
      <w:pPr>
        <w:pStyle w:val="ListParagraph"/>
        <w:ind w:left="0"/>
        <w:rPr>
          <w:rFonts w:ascii="Arial" w:hAnsi="Arial" w:cs="Arial"/>
          <w:sz w:val="20"/>
          <w:szCs w:val="20"/>
        </w:rPr>
      </w:pPr>
      <w:r w:rsidRPr="4C30C4F4">
        <w:rPr>
          <w:rFonts w:ascii="Arial" w:hAnsi="Arial" w:cs="Arial"/>
          <w:sz w:val="20"/>
          <w:szCs w:val="20"/>
        </w:rPr>
        <w:t>Taking a proportionate approach</w:t>
      </w:r>
      <w:r w:rsidRPr="4C30C4F4" w:rsidR="65A155AA">
        <w:rPr>
          <w:rFonts w:ascii="Arial" w:hAnsi="Arial" w:cs="Arial"/>
          <w:sz w:val="20"/>
          <w:szCs w:val="20"/>
        </w:rPr>
        <w:t xml:space="preserve"> by focussing upon</w:t>
      </w:r>
      <w:r w:rsidRPr="4C30C4F4">
        <w:rPr>
          <w:rFonts w:ascii="Arial" w:hAnsi="Arial" w:cs="Arial"/>
          <w:sz w:val="20"/>
          <w:szCs w:val="20"/>
        </w:rPr>
        <w:t xml:space="preserve"> contracts held within</w:t>
      </w:r>
      <w:r w:rsidRPr="4C30C4F4" w:rsidR="0DFA0582">
        <w:rPr>
          <w:rFonts w:ascii="Arial" w:hAnsi="Arial" w:cs="Arial"/>
          <w:sz w:val="20"/>
          <w:szCs w:val="20"/>
        </w:rPr>
        <w:t xml:space="preserve"> the highest spending Directorates</w:t>
      </w:r>
      <w:r w:rsidR="0013606C">
        <w:rPr>
          <w:rFonts w:ascii="Arial" w:hAnsi="Arial" w:cs="Arial"/>
          <w:sz w:val="20"/>
          <w:szCs w:val="20"/>
        </w:rPr>
        <w:t>:</w:t>
      </w:r>
      <w:r w:rsidRPr="4C30C4F4">
        <w:rPr>
          <w:rFonts w:ascii="Arial" w:hAnsi="Arial" w:cs="Arial"/>
          <w:sz w:val="20"/>
          <w:szCs w:val="20"/>
        </w:rPr>
        <w:t xml:space="preserve"> Population Wellbeing, Inclusive Economy and Children, Families and Education</w:t>
      </w:r>
      <w:r w:rsidR="0013606C">
        <w:rPr>
          <w:rFonts w:ascii="Arial" w:hAnsi="Arial" w:cs="Arial"/>
          <w:sz w:val="20"/>
          <w:szCs w:val="20"/>
        </w:rPr>
        <w:t>,</w:t>
      </w:r>
      <w:r w:rsidRPr="4C30C4F4" w:rsidR="6C1EE3A0">
        <w:rPr>
          <w:rFonts w:ascii="Arial" w:hAnsi="Arial" w:cs="Arial"/>
          <w:sz w:val="20"/>
          <w:szCs w:val="20"/>
        </w:rPr>
        <w:t xml:space="preserve"> </w:t>
      </w:r>
      <w:r w:rsidRPr="4C30C4F4">
        <w:rPr>
          <w:rFonts w:ascii="Arial" w:hAnsi="Arial" w:cs="Arial"/>
          <w:sz w:val="20"/>
          <w:szCs w:val="20"/>
        </w:rPr>
        <w:t>would be the priority area to target resources in improving contract management</w:t>
      </w:r>
      <w:r w:rsidRPr="4C30C4F4" w:rsidR="1B612FDB">
        <w:rPr>
          <w:rFonts w:ascii="Arial" w:hAnsi="Arial" w:cs="Arial"/>
          <w:sz w:val="20"/>
          <w:szCs w:val="20"/>
        </w:rPr>
        <w:t xml:space="preserve"> capability. </w:t>
      </w:r>
      <w:r w:rsidRPr="4C30C4F4" w:rsidR="09B2D2B7">
        <w:rPr>
          <w:rFonts w:ascii="Arial" w:hAnsi="Arial" w:cs="Arial"/>
          <w:sz w:val="20"/>
          <w:szCs w:val="20"/>
        </w:rPr>
        <w:t xml:space="preserve"> </w:t>
      </w:r>
    </w:p>
    <w:p w:rsidR="4C30C4F4" w:rsidP="4C30C4F4" w:rsidRDefault="4C30C4F4" w14:paraId="4C4C4CB7" w14:textId="31934F6C">
      <w:pPr>
        <w:pStyle w:val="ListParagraph"/>
        <w:ind w:left="0"/>
        <w:rPr>
          <w:rFonts w:ascii="Arial" w:hAnsi="Arial" w:cs="Arial"/>
          <w:sz w:val="20"/>
          <w:szCs w:val="20"/>
        </w:rPr>
      </w:pPr>
    </w:p>
    <w:p w:rsidR="00C8194B" w:rsidP="714252C5" w:rsidRDefault="3AB4DCC0" w14:paraId="2CFF98C4" w14:textId="0EDDE22C">
      <w:pPr>
        <w:pStyle w:val="ListParagraph"/>
        <w:ind w:left="0"/>
        <w:rPr>
          <w:rFonts w:ascii="Arial" w:hAnsi="Arial" w:cs="Arial"/>
          <w:b/>
          <w:bCs/>
          <w:sz w:val="20"/>
          <w:szCs w:val="20"/>
        </w:rPr>
      </w:pPr>
      <w:r w:rsidRPr="714252C5">
        <w:rPr>
          <w:rFonts w:ascii="Arial" w:hAnsi="Arial" w:cs="Arial"/>
          <w:b/>
          <w:bCs/>
          <w:sz w:val="20"/>
          <w:szCs w:val="20"/>
        </w:rPr>
        <w:t xml:space="preserve">Off-contract </w:t>
      </w:r>
      <w:proofErr w:type="gramStart"/>
      <w:r w:rsidRPr="714252C5">
        <w:rPr>
          <w:rFonts w:ascii="Arial" w:hAnsi="Arial" w:cs="Arial"/>
          <w:b/>
          <w:bCs/>
          <w:sz w:val="20"/>
          <w:szCs w:val="20"/>
        </w:rPr>
        <w:t>Spend</w:t>
      </w:r>
      <w:proofErr w:type="gramEnd"/>
    </w:p>
    <w:p w:rsidR="00C8194B" w:rsidP="714252C5" w:rsidRDefault="00C8194B" w14:paraId="4A39E720" w14:textId="3A2989C5">
      <w:pPr>
        <w:pStyle w:val="ListParagraph"/>
        <w:ind w:left="0"/>
        <w:rPr>
          <w:rFonts w:ascii="Arial" w:hAnsi="Arial" w:cs="Arial"/>
          <w:sz w:val="20"/>
          <w:szCs w:val="20"/>
        </w:rPr>
      </w:pPr>
    </w:p>
    <w:p w:rsidR="00AF76B7" w:rsidP="714252C5" w:rsidRDefault="01920B08" w14:paraId="0E61162D" w14:textId="77777777">
      <w:pPr>
        <w:pStyle w:val="ListParagraph"/>
        <w:ind w:left="0"/>
        <w:rPr>
          <w:rFonts w:ascii="Arial" w:hAnsi="Arial" w:cs="Arial"/>
          <w:sz w:val="20"/>
          <w:szCs w:val="20"/>
        </w:rPr>
      </w:pPr>
      <w:r w:rsidRPr="4C30C4F4">
        <w:rPr>
          <w:rFonts w:ascii="Arial" w:hAnsi="Arial" w:cs="Arial"/>
          <w:sz w:val="20"/>
          <w:szCs w:val="20"/>
        </w:rPr>
        <w:t>At present 48.3% of</w:t>
      </w:r>
      <w:r w:rsidR="00DA36DD">
        <w:rPr>
          <w:rFonts w:ascii="Arial" w:hAnsi="Arial" w:cs="Arial"/>
          <w:sz w:val="20"/>
          <w:szCs w:val="20"/>
        </w:rPr>
        <w:t xml:space="preserve"> Luton’s</w:t>
      </w:r>
      <w:r w:rsidRPr="4C30C4F4">
        <w:rPr>
          <w:rFonts w:ascii="Arial" w:hAnsi="Arial" w:cs="Arial"/>
          <w:sz w:val="20"/>
          <w:szCs w:val="20"/>
        </w:rPr>
        <w:t xml:space="preserve"> recorded spend</w:t>
      </w:r>
      <w:r w:rsidRPr="4C30C4F4" w:rsidR="3C93F8F6">
        <w:rPr>
          <w:rFonts w:ascii="Arial" w:hAnsi="Arial" w:cs="Arial"/>
          <w:sz w:val="20"/>
          <w:szCs w:val="20"/>
        </w:rPr>
        <w:t xml:space="preserve"> (across all funds)</w:t>
      </w:r>
      <w:r w:rsidRPr="4C30C4F4">
        <w:rPr>
          <w:rFonts w:ascii="Arial" w:hAnsi="Arial" w:cs="Arial"/>
          <w:sz w:val="20"/>
          <w:szCs w:val="20"/>
        </w:rPr>
        <w:t xml:space="preserve"> with third parties</w:t>
      </w:r>
      <w:r w:rsidR="00FB4D21">
        <w:rPr>
          <w:rFonts w:ascii="Arial" w:hAnsi="Arial" w:cs="Arial"/>
          <w:sz w:val="20"/>
          <w:szCs w:val="20"/>
        </w:rPr>
        <w:t xml:space="preserve"> has been recorded</w:t>
      </w:r>
      <w:r w:rsidRPr="4C30C4F4">
        <w:rPr>
          <w:rFonts w:ascii="Arial" w:hAnsi="Arial" w:cs="Arial"/>
          <w:sz w:val="20"/>
          <w:szCs w:val="20"/>
        </w:rPr>
        <w:t xml:space="preserve"> without a </w:t>
      </w:r>
      <w:r w:rsidRPr="4C30C4F4" w:rsidR="699280F7">
        <w:rPr>
          <w:rFonts w:ascii="Arial" w:hAnsi="Arial" w:cs="Arial"/>
          <w:sz w:val="20"/>
          <w:szCs w:val="20"/>
        </w:rPr>
        <w:t xml:space="preserve">DN or </w:t>
      </w:r>
      <w:r w:rsidRPr="4C30C4F4">
        <w:rPr>
          <w:rFonts w:ascii="Arial" w:hAnsi="Arial" w:cs="Arial"/>
          <w:sz w:val="20"/>
          <w:szCs w:val="20"/>
        </w:rPr>
        <w:t>Due</w:t>
      </w:r>
      <w:r w:rsidRPr="4C30C4F4" w:rsidR="66581938">
        <w:rPr>
          <w:rFonts w:ascii="Arial" w:hAnsi="Arial" w:cs="Arial"/>
          <w:sz w:val="20"/>
          <w:szCs w:val="20"/>
        </w:rPr>
        <w:t xml:space="preserve"> </w:t>
      </w:r>
      <w:r w:rsidRPr="4C30C4F4">
        <w:rPr>
          <w:rFonts w:ascii="Arial" w:hAnsi="Arial" w:cs="Arial"/>
          <w:sz w:val="20"/>
          <w:szCs w:val="20"/>
        </w:rPr>
        <w:t>North</w:t>
      </w:r>
      <w:r w:rsidRPr="4C30C4F4" w:rsidR="1A65295B">
        <w:rPr>
          <w:rFonts w:ascii="Arial" w:hAnsi="Arial" w:cs="Arial"/>
          <w:sz w:val="20"/>
          <w:szCs w:val="20"/>
        </w:rPr>
        <w:t xml:space="preserve"> (Pro-Contract)</w:t>
      </w:r>
      <w:r w:rsidRPr="4C30C4F4">
        <w:rPr>
          <w:rFonts w:ascii="Arial" w:hAnsi="Arial" w:cs="Arial"/>
          <w:sz w:val="20"/>
          <w:szCs w:val="20"/>
        </w:rPr>
        <w:t xml:space="preserve"> number</w:t>
      </w:r>
      <w:r w:rsidR="00FB4D21">
        <w:rPr>
          <w:rFonts w:ascii="Arial" w:hAnsi="Arial" w:cs="Arial"/>
          <w:sz w:val="20"/>
          <w:szCs w:val="20"/>
        </w:rPr>
        <w:t xml:space="preserve">. </w:t>
      </w:r>
    </w:p>
    <w:tbl>
      <w:tblPr>
        <w:tblW w:w="0" w:type="auto"/>
        <w:tblLayout w:type="fixed"/>
        <w:tblLook w:val="06A0" w:firstRow="1" w:lastRow="0" w:firstColumn="1" w:lastColumn="0" w:noHBand="1" w:noVBand="1"/>
      </w:tblPr>
      <w:tblGrid>
        <w:gridCol w:w="1155"/>
        <w:gridCol w:w="1785"/>
        <w:gridCol w:w="1275"/>
        <w:gridCol w:w="1665"/>
        <w:gridCol w:w="1320"/>
      </w:tblGrid>
      <w:tr w:rsidR="00AF76B7" w:rsidTr="00CB5E87" w14:paraId="0E9C492A" w14:textId="77777777">
        <w:trPr>
          <w:trHeight w:val="300"/>
        </w:trPr>
        <w:tc>
          <w:tcPr>
            <w:tcW w:w="1155" w:type="dxa"/>
            <w:tcBorders>
              <w:top w:val="single" w:color="auto" w:sz="4" w:space="0"/>
              <w:left w:val="single" w:color="auto" w:sz="4" w:space="0"/>
              <w:bottom w:val="nil"/>
              <w:right w:val="nil"/>
            </w:tcBorders>
            <w:shd w:val="clear" w:color="auto" w:fill="5B9BD5" w:themeFill="accent5"/>
            <w:tcMar>
              <w:top w:w="15" w:type="dxa"/>
              <w:left w:w="15" w:type="dxa"/>
              <w:right w:w="15" w:type="dxa"/>
            </w:tcMar>
            <w:vAlign w:val="bottom"/>
          </w:tcPr>
          <w:p w:rsidR="00AF76B7" w:rsidP="00CB5E87" w:rsidRDefault="00AF76B7" w14:paraId="57B932E5" w14:textId="77777777">
            <w:r w:rsidRPr="714252C5">
              <w:rPr>
                <w:rFonts w:ascii="Calibri" w:hAnsi="Calibri" w:eastAsia="Calibri" w:cs="Calibri"/>
                <w:b/>
                <w:bCs/>
                <w:color w:val="FFFFFF" w:themeColor="background1"/>
              </w:rPr>
              <w:t>Ref</w:t>
            </w:r>
          </w:p>
        </w:tc>
        <w:tc>
          <w:tcPr>
            <w:tcW w:w="1785" w:type="dxa"/>
            <w:tcBorders>
              <w:top w:val="single" w:color="auto" w:sz="4" w:space="0"/>
              <w:left w:val="nil"/>
              <w:bottom w:val="nil"/>
              <w:right w:val="nil"/>
            </w:tcBorders>
            <w:shd w:val="clear" w:color="auto" w:fill="5B9BD5" w:themeFill="accent5"/>
            <w:tcMar>
              <w:top w:w="15" w:type="dxa"/>
              <w:left w:w="15" w:type="dxa"/>
              <w:right w:w="15" w:type="dxa"/>
            </w:tcMar>
            <w:vAlign w:val="bottom"/>
          </w:tcPr>
          <w:p w:rsidR="00AF76B7" w:rsidP="00CB5E87" w:rsidRDefault="00AF76B7" w14:paraId="76E26F07" w14:textId="77777777">
            <w:r w:rsidRPr="714252C5">
              <w:rPr>
                <w:rFonts w:ascii="Calibri" w:hAnsi="Calibri" w:eastAsia="Calibri" w:cs="Calibri"/>
                <w:b/>
                <w:bCs/>
                <w:color w:val="FFFFFF" w:themeColor="background1"/>
              </w:rPr>
              <w:t>Value £</w:t>
            </w:r>
          </w:p>
        </w:tc>
        <w:tc>
          <w:tcPr>
            <w:tcW w:w="1275" w:type="dxa"/>
            <w:tcBorders>
              <w:top w:val="single" w:color="auto" w:sz="4" w:space="0"/>
              <w:left w:val="nil"/>
              <w:bottom w:val="nil"/>
              <w:right w:val="nil"/>
            </w:tcBorders>
            <w:shd w:val="clear" w:color="auto" w:fill="5B9BD5" w:themeFill="accent5"/>
            <w:tcMar>
              <w:top w:w="15" w:type="dxa"/>
              <w:left w:w="15" w:type="dxa"/>
              <w:right w:w="15" w:type="dxa"/>
            </w:tcMar>
            <w:vAlign w:val="bottom"/>
          </w:tcPr>
          <w:p w:rsidR="00AF76B7" w:rsidP="00CB5E87" w:rsidRDefault="00AF76B7" w14:paraId="67CA58B3" w14:textId="77777777">
            <w:r w:rsidRPr="714252C5">
              <w:rPr>
                <w:rFonts w:ascii="Calibri" w:hAnsi="Calibri" w:eastAsia="Calibri" w:cs="Calibri"/>
                <w:b/>
                <w:bCs/>
                <w:color w:val="FFFFFF" w:themeColor="background1"/>
              </w:rPr>
              <w:t>Value %</w:t>
            </w:r>
          </w:p>
        </w:tc>
        <w:tc>
          <w:tcPr>
            <w:tcW w:w="1665" w:type="dxa"/>
            <w:tcBorders>
              <w:top w:val="single" w:color="auto" w:sz="4" w:space="0"/>
              <w:left w:val="nil"/>
              <w:bottom w:val="nil"/>
              <w:right w:val="nil"/>
            </w:tcBorders>
            <w:shd w:val="clear" w:color="auto" w:fill="5B9BD5" w:themeFill="accent5"/>
            <w:tcMar>
              <w:top w:w="15" w:type="dxa"/>
              <w:left w:w="15" w:type="dxa"/>
              <w:right w:w="15" w:type="dxa"/>
            </w:tcMar>
            <w:vAlign w:val="bottom"/>
          </w:tcPr>
          <w:p w:rsidR="00AF76B7" w:rsidP="00CB5E87" w:rsidRDefault="00AF76B7" w14:paraId="58B9C04A" w14:textId="77777777">
            <w:r w:rsidRPr="714252C5">
              <w:rPr>
                <w:rFonts w:ascii="Calibri" w:hAnsi="Calibri" w:eastAsia="Calibri" w:cs="Calibri"/>
                <w:b/>
                <w:bCs/>
                <w:color w:val="FFFFFF" w:themeColor="background1"/>
              </w:rPr>
              <w:t>Count of Suppliers</w:t>
            </w:r>
          </w:p>
        </w:tc>
        <w:tc>
          <w:tcPr>
            <w:tcW w:w="1320" w:type="dxa"/>
            <w:tcBorders>
              <w:top w:val="single" w:color="auto" w:sz="4" w:space="0"/>
              <w:left w:val="nil"/>
              <w:bottom w:val="nil"/>
              <w:right w:val="single" w:color="auto" w:sz="4" w:space="0"/>
            </w:tcBorders>
            <w:shd w:val="clear" w:color="auto" w:fill="5B9BD5" w:themeFill="accent5"/>
            <w:tcMar>
              <w:top w:w="15" w:type="dxa"/>
              <w:left w:w="15" w:type="dxa"/>
              <w:right w:w="15" w:type="dxa"/>
            </w:tcMar>
            <w:vAlign w:val="bottom"/>
          </w:tcPr>
          <w:p w:rsidR="00AF76B7" w:rsidP="00CB5E87" w:rsidRDefault="00AF76B7" w14:paraId="6912BAFC" w14:textId="77777777">
            <w:r w:rsidRPr="714252C5">
              <w:rPr>
                <w:rFonts w:ascii="Calibri" w:hAnsi="Calibri" w:eastAsia="Calibri" w:cs="Calibri"/>
                <w:b/>
                <w:bCs/>
                <w:color w:val="FFFFFF" w:themeColor="background1"/>
              </w:rPr>
              <w:t>Volume %</w:t>
            </w:r>
          </w:p>
        </w:tc>
      </w:tr>
      <w:tr w:rsidR="00AF76B7" w:rsidTr="00CB5E87" w14:paraId="65E54E0B" w14:textId="77777777">
        <w:trPr>
          <w:trHeight w:val="300"/>
        </w:trPr>
        <w:tc>
          <w:tcPr>
            <w:tcW w:w="1155" w:type="dxa"/>
            <w:tcBorders>
              <w:top w:val="nil"/>
              <w:left w:val="single" w:color="auto" w:sz="4" w:space="0"/>
              <w:bottom w:val="nil"/>
              <w:right w:val="nil"/>
            </w:tcBorders>
            <w:shd w:val="clear" w:color="auto" w:fill="DDEBF7"/>
            <w:tcMar>
              <w:top w:w="15" w:type="dxa"/>
              <w:left w:w="15" w:type="dxa"/>
              <w:right w:w="15" w:type="dxa"/>
            </w:tcMar>
            <w:vAlign w:val="bottom"/>
          </w:tcPr>
          <w:p w:rsidR="00AF76B7" w:rsidP="00CB5E87" w:rsidRDefault="00AF76B7" w14:paraId="1CAF8E27" w14:textId="77777777">
            <w:r w:rsidRPr="714252C5">
              <w:rPr>
                <w:rFonts w:ascii="Calibri" w:hAnsi="Calibri" w:eastAsia="Calibri" w:cs="Calibri"/>
                <w:color w:val="000000" w:themeColor="text1"/>
              </w:rPr>
              <w:t>DN Ref.</w:t>
            </w:r>
          </w:p>
        </w:tc>
        <w:tc>
          <w:tcPr>
            <w:tcW w:w="1785" w:type="dxa"/>
            <w:tcBorders>
              <w:top w:val="nil"/>
              <w:left w:val="nil"/>
              <w:bottom w:val="nil"/>
              <w:right w:val="nil"/>
            </w:tcBorders>
            <w:shd w:val="clear" w:color="auto" w:fill="DDEBF7"/>
            <w:tcMar>
              <w:top w:w="15" w:type="dxa"/>
              <w:left w:w="15" w:type="dxa"/>
              <w:right w:w="15" w:type="dxa"/>
            </w:tcMar>
            <w:vAlign w:val="bottom"/>
          </w:tcPr>
          <w:p w:rsidR="00AF76B7" w:rsidP="00CB5E87" w:rsidRDefault="00AF76B7" w14:paraId="15ED22FF" w14:textId="77777777">
            <w:r w:rsidRPr="714252C5">
              <w:rPr>
                <w:rFonts w:ascii="Calibri" w:hAnsi="Calibri" w:eastAsia="Calibri" w:cs="Calibri"/>
                <w:color w:val="000000" w:themeColor="text1"/>
              </w:rPr>
              <w:t>£126,717,928.90</w:t>
            </w:r>
          </w:p>
        </w:tc>
        <w:tc>
          <w:tcPr>
            <w:tcW w:w="1275" w:type="dxa"/>
            <w:tcBorders>
              <w:top w:val="nil"/>
              <w:left w:val="nil"/>
              <w:bottom w:val="nil"/>
              <w:right w:val="nil"/>
            </w:tcBorders>
            <w:shd w:val="clear" w:color="auto" w:fill="DDEBF7"/>
            <w:tcMar>
              <w:top w:w="15" w:type="dxa"/>
              <w:left w:w="15" w:type="dxa"/>
              <w:right w:w="15" w:type="dxa"/>
            </w:tcMar>
            <w:vAlign w:val="bottom"/>
          </w:tcPr>
          <w:p w:rsidR="00AF76B7" w:rsidP="00CB5E87" w:rsidRDefault="00AF76B7" w14:paraId="45644649" w14:textId="77777777">
            <w:r w:rsidRPr="714252C5">
              <w:rPr>
                <w:rFonts w:ascii="Calibri" w:hAnsi="Calibri" w:eastAsia="Calibri" w:cs="Calibri"/>
                <w:color w:val="000000" w:themeColor="text1"/>
              </w:rPr>
              <w:t>51.7%</w:t>
            </w:r>
          </w:p>
        </w:tc>
        <w:tc>
          <w:tcPr>
            <w:tcW w:w="1665" w:type="dxa"/>
            <w:tcBorders>
              <w:top w:val="nil"/>
              <w:left w:val="nil"/>
              <w:bottom w:val="nil"/>
              <w:right w:val="nil"/>
            </w:tcBorders>
            <w:shd w:val="clear" w:color="auto" w:fill="DDEBF7"/>
            <w:tcMar>
              <w:top w:w="15" w:type="dxa"/>
              <w:left w:w="15" w:type="dxa"/>
              <w:right w:w="15" w:type="dxa"/>
            </w:tcMar>
            <w:vAlign w:val="bottom"/>
          </w:tcPr>
          <w:p w:rsidR="00AF76B7" w:rsidP="00CB5E87" w:rsidRDefault="00AF76B7" w14:paraId="32E93A75" w14:textId="77777777">
            <w:r w:rsidRPr="714252C5">
              <w:rPr>
                <w:rFonts w:ascii="Calibri" w:hAnsi="Calibri" w:eastAsia="Calibri" w:cs="Calibri"/>
                <w:color w:val="000000" w:themeColor="text1"/>
              </w:rPr>
              <w:t>54122</w:t>
            </w:r>
          </w:p>
        </w:tc>
        <w:tc>
          <w:tcPr>
            <w:tcW w:w="1320" w:type="dxa"/>
            <w:tcBorders>
              <w:top w:val="nil"/>
              <w:left w:val="nil"/>
              <w:bottom w:val="nil"/>
              <w:right w:val="single" w:color="auto" w:sz="4" w:space="0"/>
            </w:tcBorders>
            <w:shd w:val="clear" w:color="auto" w:fill="DDEBF7"/>
            <w:tcMar>
              <w:top w:w="15" w:type="dxa"/>
              <w:left w:w="15" w:type="dxa"/>
              <w:right w:w="15" w:type="dxa"/>
            </w:tcMar>
            <w:vAlign w:val="bottom"/>
          </w:tcPr>
          <w:p w:rsidR="00AF76B7" w:rsidP="00CB5E87" w:rsidRDefault="00AF76B7" w14:paraId="38746F79" w14:textId="77777777">
            <w:r w:rsidRPr="714252C5">
              <w:rPr>
                <w:rFonts w:ascii="Calibri" w:hAnsi="Calibri" w:eastAsia="Calibri" w:cs="Calibri"/>
                <w:color w:val="000000" w:themeColor="text1"/>
              </w:rPr>
              <w:t>49.8%</w:t>
            </w:r>
          </w:p>
        </w:tc>
      </w:tr>
      <w:tr w:rsidR="00AF76B7" w:rsidTr="00CB5E87" w14:paraId="2069F8A0" w14:textId="77777777">
        <w:trPr>
          <w:trHeight w:val="300"/>
        </w:trPr>
        <w:tc>
          <w:tcPr>
            <w:tcW w:w="1155" w:type="dxa"/>
            <w:tcBorders>
              <w:top w:val="nil"/>
              <w:left w:val="single" w:color="auto" w:sz="4" w:space="0"/>
              <w:bottom w:val="nil"/>
              <w:right w:val="nil"/>
            </w:tcBorders>
            <w:tcMar>
              <w:top w:w="15" w:type="dxa"/>
              <w:left w:w="15" w:type="dxa"/>
              <w:right w:w="15" w:type="dxa"/>
            </w:tcMar>
            <w:vAlign w:val="bottom"/>
          </w:tcPr>
          <w:p w:rsidR="00AF76B7" w:rsidP="00CB5E87" w:rsidRDefault="00AF76B7" w14:paraId="28EFFB14" w14:textId="77777777">
            <w:r w:rsidRPr="714252C5">
              <w:rPr>
                <w:rFonts w:ascii="Calibri" w:hAnsi="Calibri" w:eastAsia="Calibri" w:cs="Calibri"/>
                <w:color w:val="000000" w:themeColor="text1"/>
              </w:rPr>
              <w:t>No DN Ref.</w:t>
            </w:r>
          </w:p>
        </w:tc>
        <w:tc>
          <w:tcPr>
            <w:tcW w:w="1785" w:type="dxa"/>
            <w:tcBorders>
              <w:top w:val="nil"/>
              <w:left w:val="nil"/>
              <w:bottom w:val="nil"/>
              <w:right w:val="nil"/>
            </w:tcBorders>
            <w:tcMar>
              <w:top w:w="15" w:type="dxa"/>
              <w:left w:w="15" w:type="dxa"/>
              <w:right w:w="15" w:type="dxa"/>
            </w:tcMar>
            <w:vAlign w:val="bottom"/>
          </w:tcPr>
          <w:p w:rsidR="00AF76B7" w:rsidP="00CB5E87" w:rsidRDefault="00AF76B7" w14:paraId="197FE424" w14:textId="77777777">
            <w:r w:rsidRPr="714252C5">
              <w:rPr>
                <w:rFonts w:ascii="Calibri" w:hAnsi="Calibri" w:eastAsia="Calibri" w:cs="Calibri"/>
                <w:color w:val="000000" w:themeColor="text1"/>
              </w:rPr>
              <w:t>£118,266,686.61</w:t>
            </w:r>
          </w:p>
        </w:tc>
        <w:tc>
          <w:tcPr>
            <w:tcW w:w="1275" w:type="dxa"/>
            <w:tcBorders>
              <w:top w:val="nil"/>
              <w:left w:val="nil"/>
              <w:bottom w:val="nil"/>
              <w:right w:val="nil"/>
            </w:tcBorders>
            <w:tcMar>
              <w:top w:w="15" w:type="dxa"/>
              <w:left w:w="15" w:type="dxa"/>
              <w:right w:w="15" w:type="dxa"/>
            </w:tcMar>
            <w:vAlign w:val="bottom"/>
          </w:tcPr>
          <w:p w:rsidR="00AF76B7" w:rsidP="00CB5E87" w:rsidRDefault="00AF76B7" w14:paraId="5A60038E" w14:textId="77777777">
            <w:r w:rsidRPr="714252C5">
              <w:rPr>
                <w:rFonts w:ascii="Calibri" w:hAnsi="Calibri" w:eastAsia="Calibri" w:cs="Calibri"/>
                <w:color w:val="000000" w:themeColor="text1"/>
              </w:rPr>
              <w:t>48.3%</w:t>
            </w:r>
          </w:p>
        </w:tc>
        <w:tc>
          <w:tcPr>
            <w:tcW w:w="1665" w:type="dxa"/>
            <w:tcBorders>
              <w:top w:val="nil"/>
              <w:left w:val="nil"/>
              <w:bottom w:val="nil"/>
              <w:right w:val="nil"/>
            </w:tcBorders>
            <w:tcMar>
              <w:top w:w="15" w:type="dxa"/>
              <w:left w:w="15" w:type="dxa"/>
              <w:right w:w="15" w:type="dxa"/>
            </w:tcMar>
            <w:vAlign w:val="bottom"/>
          </w:tcPr>
          <w:p w:rsidR="00AF76B7" w:rsidP="00CB5E87" w:rsidRDefault="00AF76B7" w14:paraId="30754D8E" w14:textId="77777777">
            <w:r w:rsidRPr="714252C5">
              <w:rPr>
                <w:rFonts w:ascii="Calibri" w:hAnsi="Calibri" w:eastAsia="Calibri" w:cs="Calibri"/>
                <w:color w:val="000000" w:themeColor="text1"/>
              </w:rPr>
              <w:t>54661</w:t>
            </w:r>
          </w:p>
        </w:tc>
        <w:tc>
          <w:tcPr>
            <w:tcW w:w="1320" w:type="dxa"/>
            <w:tcBorders>
              <w:top w:val="nil"/>
              <w:left w:val="nil"/>
              <w:bottom w:val="nil"/>
              <w:right w:val="single" w:color="auto" w:sz="4" w:space="0"/>
            </w:tcBorders>
            <w:tcMar>
              <w:top w:w="15" w:type="dxa"/>
              <w:left w:w="15" w:type="dxa"/>
              <w:right w:w="15" w:type="dxa"/>
            </w:tcMar>
            <w:vAlign w:val="bottom"/>
          </w:tcPr>
          <w:p w:rsidR="00AF76B7" w:rsidP="00CB5E87" w:rsidRDefault="00AF76B7" w14:paraId="1F2D1ACD" w14:textId="77777777">
            <w:r w:rsidRPr="714252C5">
              <w:rPr>
                <w:rFonts w:ascii="Calibri" w:hAnsi="Calibri" w:eastAsia="Calibri" w:cs="Calibri"/>
                <w:color w:val="000000" w:themeColor="text1"/>
              </w:rPr>
              <w:t>50.2%</w:t>
            </w:r>
          </w:p>
        </w:tc>
      </w:tr>
      <w:tr w:rsidR="00AF76B7" w:rsidTr="00CB5E87" w14:paraId="76995BF6" w14:textId="77777777">
        <w:trPr>
          <w:trHeight w:val="300"/>
        </w:trPr>
        <w:tc>
          <w:tcPr>
            <w:tcW w:w="1155" w:type="dxa"/>
            <w:tcBorders>
              <w:top w:val="nil"/>
              <w:left w:val="single" w:color="auto" w:sz="4" w:space="0"/>
              <w:bottom w:val="single" w:color="auto" w:sz="4" w:space="0"/>
              <w:right w:val="nil"/>
            </w:tcBorders>
            <w:shd w:val="clear" w:color="auto" w:fill="DDEBF7"/>
            <w:tcMar>
              <w:top w:w="15" w:type="dxa"/>
              <w:left w:w="15" w:type="dxa"/>
              <w:right w:w="15" w:type="dxa"/>
            </w:tcMar>
            <w:vAlign w:val="bottom"/>
          </w:tcPr>
          <w:p w:rsidR="00AF76B7" w:rsidP="00CB5E87" w:rsidRDefault="00AF76B7" w14:paraId="1C73D6E9" w14:textId="77777777">
            <w:r w:rsidRPr="714252C5">
              <w:rPr>
                <w:rFonts w:ascii="Calibri" w:hAnsi="Calibri" w:eastAsia="Calibri" w:cs="Calibri"/>
                <w:color w:val="000000" w:themeColor="text1"/>
              </w:rPr>
              <w:t>Grand Total</w:t>
            </w:r>
          </w:p>
        </w:tc>
        <w:tc>
          <w:tcPr>
            <w:tcW w:w="1785" w:type="dxa"/>
            <w:tcBorders>
              <w:top w:val="nil"/>
              <w:left w:val="nil"/>
              <w:bottom w:val="single" w:color="auto" w:sz="4" w:space="0"/>
              <w:right w:val="nil"/>
            </w:tcBorders>
            <w:shd w:val="clear" w:color="auto" w:fill="DDEBF7"/>
            <w:tcMar>
              <w:top w:w="15" w:type="dxa"/>
              <w:left w:w="15" w:type="dxa"/>
              <w:right w:w="15" w:type="dxa"/>
            </w:tcMar>
            <w:vAlign w:val="bottom"/>
          </w:tcPr>
          <w:p w:rsidR="00AF76B7" w:rsidP="00CB5E87" w:rsidRDefault="00AF76B7" w14:paraId="230878BF" w14:textId="77777777">
            <w:r w:rsidRPr="714252C5">
              <w:rPr>
                <w:rFonts w:ascii="Calibri" w:hAnsi="Calibri" w:eastAsia="Calibri" w:cs="Calibri"/>
                <w:color w:val="000000" w:themeColor="text1"/>
              </w:rPr>
              <w:t>£244,984,615.51</w:t>
            </w:r>
          </w:p>
        </w:tc>
        <w:tc>
          <w:tcPr>
            <w:tcW w:w="1275" w:type="dxa"/>
            <w:tcBorders>
              <w:top w:val="nil"/>
              <w:left w:val="nil"/>
              <w:bottom w:val="single" w:color="auto" w:sz="4" w:space="0"/>
              <w:right w:val="nil"/>
            </w:tcBorders>
            <w:shd w:val="clear" w:color="auto" w:fill="DDEBF7"/>
            <w:tcMar>
              <w:top w:w="15" w:type="dxa"/>
              <w:left w:w="15" w:type="dxa"/>
              <w:right w:w="15" w:type="dxa"/>
            </w:tcMar>
            <w:vAlign w:val="bottom"/>
          </w:tcPr>
          <w:p w:rsidR="00AF76B7" w:rsidP="00CB5E87" w:rsidRDefault="00AF76B7" w14:paraId="170CF189" w14:textId="77777777">
            <w:r w:rsidRPr="714252C5">
              <w:rPr>
                <w:rFonts w:ascii="Calibri" w:hAnsi="Calibri" w:eastAsia="Calibri" w:cs="Calibri"/>
                <w:color w:val="000000" w:themeColor="text1"/>
              </w:rPr>
              <w:t>100.0%</w:t>
            </w:r>
          </w:p>
        </w:tc>
        <w:tc>
          <w:tcPr>
            <w:tcW w:w="1665" w:type="dxa"/>
            <w:tcBorders>
              <w:top w:val="nil"/>
              <w:left w:val="nil"/>
              <w:bottom w:val="single" w:color="auto" w:sz="4" w:space="0"/>
              <w:right w:val="nil"/>
            </w:tcBorders>
            <w:shd w:val="clear" w:color="auto" w:fill="DDEBF7"/>
            <w:tcMar>
              <w:top w:w="15" w:type="dxa"/>
              <w:left w:w="15" w:type="dxa"/>
              <w:right w:w="15" w:type="dxa"/>
            </w:tcMar>
            <w:vAlign w:val="bottom"/>
          </w:tcPr>
          <w:p w:rsidR="00AF76B7" w:rsidP="00CB5E87" w:rsidRDefault="00AF76B7" w14:paraId="669AC672" w14:textId="77777777">
            <w:r w:rsidRPr="714252C5">
              <w:rPr>
                <w:rFonts w:ascii="Calibri" w:hAnsi="Calibri" w:eastAsia="Calibri" w:cs="Calibri"/>
                <w:color w:val="000000" w:themeColor="text1"/>
              </w:rPr>
              <w:t>108783</w:t>
            </w:r>
          </w:p>
        </w:tc>
        <w:tc>
          <w:tcPr>
            <w:tcW w:w="1320" w:type="dxa"/>
            <w:tcBorders>
              <w:top w:val="nil"/>
              <w:left w:val="nil"/>
              <w:bottom w:val="single" w:color="auto" w:sz="4" w:space="0"/>
              <w:right w:val="single" w:color="auto" w:sz="4" w:space="0"/>
            </w:tcBorders>
            <w:shd w:val="clear" w:color="auto" w:fill="DDEBF7"/>
            <w:tcMar>
              <w:top w:w="15" w:type="dxa"/>
              <w:left w:w="15" w:type="dxa"/>
              <w:right w:w="15" w:type="dxa"/>
            </w:tcMar>
            <w:vAlign w:val="bottom"/>
          </w:tcPr>
          <w:p w:rsidR="00AF76B7" w:rsidP="00CB5E87" w:rsidRDefault="00AF76B7" w14:paraId="5ABBEDA9" w14:textId="77777777">
            <w:r w:rsidRPr="714252C5">
              <w:rPr>
                <w:rFonts w:ascii="Calibri" w:hAnsi="Calibri" w:eastAsia="Calibri" w:cs="Calibri"/>
                <w:color w:val="000000" w:themeColor="text1"/>
              </w:rPr>
              <w:t>100.0%</w:t>
            </w:r>
          </w:p>
        </w:tc>
      </w:tr>
    </w:tbl>
    <w:p w:rsidR="00AF76B7" w:rsidP="714252C5" w:rsidRDefault="00AF76B7" w14:paraId="33C5D6FC" w14:textId="77777777">
      <w:pPr>
        <w:pStyle w:val="ListParagraph"/>
        <w:ind w:left="0"/>
        <w:rPr>
          <w:rFonts w:ascii="Arial" w:hAnsi="Arial" w:cs="Arial"/>
          <w:sz w:val="20"/>
          <w:szCs w:val="20"/>
        </w:rPr>
      </w:pPr>
    </w:p>
    <w:p w:rsidR="00AF76B7" w:rsidP="714252C5" w:rsidRDefault="00FB4D21" w14:paraId="690E2339" w14:textId="23617965">
      <w:pPr>
        <w:pStyle w:val="ListParagraph"/>
        <w:ind w:left="0"/>
        <w:rPr>
          <w:rFonts w:ascii="Arial" w:hAnsi="Arial" w:cs="Arial"/>
          <w:sz w:val="20"/>
          <w:szCs w:val="20"/>
        </w:rPr>
      </w:pPr>
      <w:r>
        <w:rPr>
          <w:rFonts w:ascii="Arial" w:hAnsi="Arial" w:cs="Arial"/>
          <w:sz w:val="20"/>
          <w:szCs w:val="20"/>
        </w:rPr>
        <w:t>T</w:t>
      </w:r>
      <w:r w:rsidRPr="4C30C4F4" w:rsidR="7BBDDFDF">
        <w:rPr>
          <w:rFonts w:ascii="Arial" w:hAnsi="Arial" w:cs="Arial"/>
          <w:sz w:val="20"/>
          <w:szCs w:val="20"/>
        </w:rPr>
        <w:t xml:space="preserve">his does not directly tell us that 48.3% of third party spend has been without the formal involvement of Procurement or </w:t>
      </w:r>
      <w:r w:rsidRPr="4C30C4F4" w:rsidR="0DE93EC8">
        <w:rPr>
          <w:rFonts w:ascii="Arial" w:hAnsi="Arial" w:cs="Arial"/>
          <w:sz w:val="20"/>
          <w:szCs w:val="20"/>
        </w:rPr>
        <w:t>compliance with</w:t>
      </w:r>
      <w:r w:rsidRPr="4C30C4F4" w:rsidR="7BBDDFDF">
        <w:rPr>
          <w:rFonts w:ascii="Arial" w:hAnsi="Arial" w:cs="Arial"/>
          <w:sz w:val="20"/>
          <w:szCs w:val="20"/>
        </w:rPr>
        <w:t xml:space="preserve"> the Standing Orders</w:t>
      </w:r>
      <w:r w:rsidR="00AF76B7">
        <w:rPr>
          <w:rFonts w:ascii="Arial" w:hAnsi="Arial" w:cs="Arial"/>
          <w:sz w:val="20"/>
          <w:szCs w:val="20"/>
        </w:rPr>
        <w:t>.</w:t>
      </w:r>
      <w:r w:rsidR="00E83919">
        <w:rPr>
          <w:rFonts w:ascii="Arial" w:hAnsi="Arial" w:cs="Arial"/>
          <w:sz w:val="20"/>
          <w:szCs w:val="20"/>
        </w:rPr>
        <w:t xml:space="preserve"> </w:t>
      </w:r>
      <w:r w:rsidRPr="714252C5" w:rsidR="1A947BCC">
        <w:rPr>
          <w:rFonts w:ascii="Arial" w:hAnsi="Arial" w:cs="Arial"/>
          <w:sz w:val="20"/>
          <w:szCs w:val="20"/>
        </w:rPr>
        <w:t xml:space="preserve">There are </w:t>
      </w:r>
      <w:proofErr w:type="gramStart"/>
      <w:r w:rsidRPr="714252C5" w:rsidR="1A947BCC">
        <w:rPr>
          <w:rFonts w:ascii="Arial" w:hAnsi="Arial" w:cs="Arial"/>
          <w:sz w:val="20"/>
          <w:szCs w:val="20"/>
        </w:rPr>
        <w:t>a number of</w:t>
      </w:r>
      <w:proofErr w:type="gramEnd"/>
      <w:r w:rsidRPr="714252C5" w:rsidR="1A947BCC">
        <w:rPr>
          <w:rFonts w:ascii="Arial" w:hAnsi="Arial" w:cs="Arial"/>
          <w:sz w:val="20"/>
          <w:szCs w:val="20"/>
        </w:rPr>
        <w:t xml:space="preserve"> factors as to why Luton has such high numbers of contracts without DN</w:t>
      </w:r>
      <w:r w:rsidRPr="714252C5" w:rsidR="10BBC7B9">
        <w:rPr>
          <w:rFonts w:ascii="Arial" w:hAnsi="Arial" w:cs="Arial"/>
          <w:sz w:val="20"/>
          <w:szCs w:val="20"/>
        </w:rPr>
        <w:t xml:space="preserve"> references, these can be from typing errors</w:t>
      </w:r>
      <w:r w:rsidR="009B6FB4">
        <w:rPr>
          <w:rFonts w:ascii="Arial" w:hAnsi="Arial" w:cs="Arial"/>
          <w:sz w:val="20"/>
          <w:szCs w:val="20"/>
        </w:rPr>
        <w:t>,</w:t>
      </w:r>
      <w:r w:rsidRPr="714252C5" w:rsidR="10BBC7B9">
        <w:rPr>
          <w:rFonts w:ascii="Arial" w:hAnsi="Arial" w:cs="Arial"/>
          <w:sz w:val="20"/>
          <w:szCs w:val="20"/>
        </w:rPr>
        <w:t xml:space="preserve"> to identifying the correct suppliers, to </w:t>
      </w:r>
      <w:r w:rsidRPr="714252C5" w:rsidR="6CB77F3E">
        <w:rPr>
          <w:rFonts w:ascii="Arial" w:hAnsi="Arial" w:cs="Arial"/>
          <w:sz w:val="20"/>
          <w:szCs w:val="20"/>
        </w:rPr>
        <w:t>light-touch regime spot purchased care placements. There are also contracts under frameworks that appear as having no formal contracts in place. Th</w:t>
      </w:r>
      <w:r w:rsidRPr="714252C5" w:rsidR="6FF1E6FD">
        <w:rPr>
          <w:rFonts w:ascii="Arial" w:hAnsi="Arial" w:cs="Arial"/>
          <w:sz w:val="20"/>
          <w:szCs w:val="20"/>
        </w:rPr>
        <w:t>is is continually being manually reviewed by the Service Manager for Procurement to determine a final list and recent work has reduced the figure by circa £60m.</w:t>
      </w:r>
    </w:p>
    <w:p w:rsidR="00C8194B" w:rsidP="714252C5" w:rsidRDefault="00C8194B" w14:paraId="1161EAB5" w14:textId="0C1A8AD4">
      <w:pPr>
        <w:pStyle w:val="ListParagraph"/>
        <w:ind w:left="0"/>
        <w:rPr>
          <w:rFonts w:ascii="Arial" w:hAnsi="Arial" w:cs="Arial"/>
          <w:sz w:val="20"/>
          <w:szCs w:val="20"/>
        </w:rPr>
      </w:pPr>
    </w:p>
    <w:p w:rsidR="00C8194B" w:rsidP="714252C5" w:rsidRDefault="6FF1E6FD" w14:paraId="7BC5B214" w14:textId="6D7AD5F4">
      <w:pPr>
        <w:pStyle w:val="ListParagraph"/>
        <w:ind w:left="0"/>
        <w:rPr>
          <w:rFonts w:ascii="Arial" w:hAnsi="Arial" w:cs="Arial"/>
          <w:sz w:val="20"/>
          <w:szCs w:val="20"/>
        </w:rPr>
      </w:pPr>
      <w:r w:rsidRPr="714252C5">
        <w:rPr>
          <w:rFonts w:ascii="Arial" w:hAnsi="Arial" w:cs="Arial"/>
          <w:sz w:val="20"/>
          <w:szCs w:val="20"/>
        </w:rPr>
        <w:t>Once this list of off-contract third party spend has been concluded, work can commence to identify whether light touch and Provider Selection Regime (NHS PSR) can further distil to a final list of off-contract sp</w:t>
      </w:r>
      <w:r w:rsidRPr="714252C5" w:rsidR="6324BA35">
        <w:rPr>
          <w:rFonts w:ascii="Arial" w:hAnsi="Arial" w:cs="Arial"/>
          <w:sz w:val="20"/>
          <w:szCs w:val="20"/>
        </w:rPr>
        <w:t xml:space="preserve">end, </w:t>
      </w:r>
      <w:proofErr w:type="gramStart"/>
      <w:r w:rsidRPr="714252C5" w:rsidR="6324BA35">
        <w:rPr>
          <w:rFonts w:ascii="Arial" w:hAnsi="Arial" w:cs="Arial"/>
          <w:sz w:val="20"/>
          <w:szCs w:val="20"/>
        </w:rPr>
        <w:t>i.e.</w:t>
      </w:r>
      <w:proofErr w:type="gramEnd"/>
      <w:r w:rsidRPr="714252C5" w:rsidR="6324BA35">
        <w:rPr>
          <w:rFonts w:ascii="Arial" w:hAnsi="Arial" w:cs="Arial"/>
          <w:sz w:val="20"/>
          <w:szCs w:val="20"/>
        </w:rPr>
        <w:t xml:space="preserve"> whereby contracts have been direct awarded and procurement procedures/ standing orders have been circumvented or ignored. This distilled list will allow a detailed analysis of this spend to determine common themes</w:t>
      </w:r>
      <w:r w:rsidRPr="714252C5" w:rsidR="4B93F8CF">
        <w:rPr>
          <w:rFonts w:ascii="Arial" w:hAnsi="Arial" w:cs="Arial"/>
          <w:sz w:val="20"/>
          <w:szCs w:val="20"/>
        </w:rPr>
        <w:t xml:space="preserve"> but also to understand how and why procedures have not been complied with to produce a remedial action plan to address current spend but al</w:t>
      </w:r>
      <w:r w:rsidR="00E83919">
        <w:rPr>
          <w:rFonts w:ascii="Arial" w:hAnsi="Arial" w:cs="Arial"/>
          <w:sz w:val="20"/>
          <w:szCs w:val="20"/>
        </w:rPr>
        <w:t>s</w:t>
      </w:r>
      <w:r w:rsidRPr="714252C5" w:rsidR="4B93F8CF">
        <w:rPr>
          <w:rFonts w:ascii="Arial" w:hAnsi="Arial" w:cs="Arial"/>
          <w:sz w:val="20"/>
          <w:szCs w:val="20"/>
        </w:rPr>
        <w:t>o to prevent this from happening in the future.</w:t>
      </w:r>
    </w:p>
    <w:p w:rsidR="00C8194B" w:rsidP="714252C5" w:rsidRDefault="00C8194B" w14:paraId="6C9177F3" w14:textId="7AEA2388">
      <w:pPr>
        <w:pStyle w:val="ListParagraph"/>
        <w:ind w:left="0"/>
        <w:rPr>
          <w:rFonts w:ascii="Arial" w:hAnsi="Arial" w:cs="Arial"/>
          <w:sz w:val="20"/>
          <w:szCs w:val="20"/>
        </w:rPr>
      </w:pPr>
    </w:p>
    <w:p w:rsidR="00C8194B" w:rsidP="714252C5" w:rsidRDefault="0D89B17D" w14:paraId="24CB9F37" w14:textId="692C58E1">
      <w:pPr>
        <w:pStyle w:val="ListParagraph"/>
        <w:ind w:left="0"/>
        <w:rPr>
          <w:rFonts w:ascii="Arial" w:hAnsi="Arial" w:cs="Arial"/>
          <w:sz w:val="20"/>
          <w:szCs w:val="20"/>
        </w:rPr>
      </w:pPr>
      <w:r w:rsidRPr="4C30C4F4">
        <w:rPr>
          <w:rFonts w:ascii="Arial" w:hAnsi="Arial" w:cs="Arial"/>
          <w:sz w:val="20"/>
          <w:szCs w:val="20"/>
        </w:rPr>
        <w:t>For illustrative purpose</w:t>
      </w:r>
      <w:r w:rsidR="00CE0A62">
        <w:rPr>
          <w:rFonts w:ascii="Arial" w:hAnsi="Arial" w:cs="Arial"/>
          <w:sz w:val="20"/>
          <w:szCs w:val="20"/>
        </w:rPr>
        <w:t>s</w:t>
      </w:r>
      <w:r w:rsidRPr="4C30C4F4">
        <w:rPr>
          <w:rFonts w:ascii="Arial" w:hAnsi="Arial" w:cs="Arial"/>
          <w:sz w:val="20"/>
          <w:szCs w:val="20"/>
        </w:rPr>
        <w:t>, u</w:t>
      </w:r>
      <w:r w:rsidRPr="4C30C4F4" w:rsidR="0951FD75">
        <w:rPr>
          <w:rFonts w:ascii="Arial" w:hAnsi="Arial" w:cs="Arial"/>
          <w:sz w:val="20"/>
          <w:szCs w:val="20"/>
        </w:rPr>
        <w:t xml:space="preserve">sing the current No DN Ref data </w:t>
      </w:r>
      <w:r w:rsidRPr="4C30C4F4" w:rsidR="1BBF5E0D">
        <w:rPr>
          <w:rFonts w:ascii="Arial" w:hAnsi="Arial" w:cs="Arial"/>
          <w:sz w:val="20"/>
          <w:szCs w:val="20"/>
        </w:rPr>
        <w:t>(</w:t>
      </w:r>
      <w:r w:rsidRPr="4C30C4F4" w:rsidR="0951FD75">
        <w:rPr>
          <w:rFonts w:ascii="Arial" w:hAnsi="Arial" w:cs="Arial"/>
          <w:sz w:val="20"/>
          <w:szCs w:val="20"/>
        </w:rPr>
        <w:t>which is not funding code filtered</w:t>
      </w:r>
      <w:r w:rsidRPr="4C30C4F4" w:rsidR="4984BC1A">
        <w:rPr>
          <w:rFonts w:ascii="Arial" w:hAnsi="Arial" w:cs="Arial"/>
          <w:sz w:val="20"/>
          <w:szCs w:val="20"/>
        </w:rPr>
        <w:t>)</w:t>
      </w:r>
      <w:r w:rsidRPr="4C30C4F4" w:rsidR="0951FD75">
        <w:rPr>
          <w:rFonts w:ascii="Arial" w:hAnsi="Arial" w:cs="Arial"/>
          <w:sz w:val="20"/>
          <w:szCs w:val="20"/>
        </w:rPr>
        <w:t>, the top 20 suppliers without contracts are as follows</w:t>
      </w:r>
      <w:r w:rsidR="009B0A98">
        <w:rPr>
          <w:rFonts w:ascii="Arial" w:hAnsi="Arial" w:cs="Arial"/>
          <w:sz w:val="20"/>
          <w:szCs w:val="20"/>
        </w:rPr>
        <w:t>,</w:t>
      </w:r>
      <w:r w:rsidRPr="4C30C4F4" w:rsidR="2FE1EF1E">
        <w:rPr>
          <w:rFonts w:ascii="Arial" w:hAnsi="Arial" w:cs="Arial"/>
          <w:sz w:val="20"/>
          <w:szCs w:val="20"/>
        </w:rPr>
        <w:t xml:space="preserve"> including the total value and transaction numbers in 2022/23</w:t>
      </w:r>
      <w:r w:rsidRPr="4C30C4F4" w:rsidR="0951FD75">
        <w:rPr>
          <w:rFonts w:ascii="Arial" w:hAnsi="Arial" w:cs="Arial"/>
          <w:sz w:val="20"/>
          <w:szCs w:val="20"/>
        </w:rPr>
        <w:t>:</w:t>
      </w:r>
    </w:p>
    <w:p w:rsidR="00C8194B" w:rsidP="714252C5" w:rsidRDefault="00C8194B" w14:paraId="247501D7" w14:textId="0716C3CE">
      <w:pPr>
        <w:pStyle w:val="ListParagraph"/>
        <w:ind w:left="0"/>
        <w:rPr>
          <w:rFonts w:ascii="Arial" w:hAnsi="Arial" w:cs="Arial"/>
          <w:sz w:val="20"/>
          <w:szCs w:val="20"/>
        </w:rPr>
      </w:pPr>
    </w:p>
    <w:tbl>
      <w:tblPr>
        <w:tblW w:w="0" w:type="auto"/>
        <w:tblLayout w:type="fixed"/>
        <w:tblLook w:val="06A0" w:firstRow="1" w:lastRow="0" w:firstColumn="1" w:lastColumn="0" w:noHBand="1" w:noVBand="1"/>
      </w:tblPr>
      <w:tblGrid>
        <w:gridCol w:w="4857"/>
        <w:gridCol w:w="1699"/>
        <w:gridCol w:w="2459"/>
      </w:tblGrid>
      <w:tr w:rsidR="714252C5" w:rsidTr="714252C5" w14:paraId="5369509F"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3ADA4649" w14:textId="51964FD2">
            <w:r w:rsidRPr="714252C5">
              <w:rPr>
                <w:rFonts w:ascii="Calibri" w:hAnsi="Calibri" w:eastAsia="Calibri" w:cs="Calibri"/>
                <w:color w:val="000000" w:themeColor="text1"/>
              </w:rPr>
              <w:t>8APT Care Ltd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21EEB2B2" w14:textId="35FFF8DC">
            <w:r w:rsidRPr="714252C5">
              <w:rPr>
                <w:rFonts w:ascii="Calibri" w:hAnsi="Calibri" w:eastAsia="Calibri" w:cs="Calibri"/>
                <w:color w:val="000000" w:themeColor="text1"/>
              </w:rPr>
              <w:t>£2,600,783.49</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526E9856" w14:textId="6813232D">
            <w:r w:rsidRPr="714252C5">
              <w:rPr>
                <w:rFonts w:ascii="Calibri" w:hAnsi="Calibri" w:eastAsia="Calibri" w:cs="Calibri"/>
                <w:color w:val="000000" w:themeColor="text1"/>
              </w:rPr>
              <w:t>4342</w:t>
            </w:r>
          </w:p>
        </w:tc>
      </w:tr>
      <w:tr w:rsidR="714252C5" w:rsidTr="714252C5" w14:paraId="5A3824B4"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799DA128" w14:textId="24AB113F">
            <w:r w:rsidRPr="714252C5">
              <w:rPr>
                <w:rFonts w:ascii="Calibri" w:hAnsi="Calibri" w:eastAsia="Calibri" w:cs="Calibri"/>
                <w:color w:val="000000" w:themeColor="text1"/>
              </w:rPr>
              <w:t>Bluebird Care (Luton)</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49781864" w14:textId="5985C748">
            <w:r w:rsidRPr="714252C5">
              <w:rPr>
                <w:rFonts w:ascii="Calibri" w:hAnsi="Calibri" w:eastAsia="Calibri" w:cs="Calibri"/>
                <w:color w:val="000000" w:themeColor="text1"/>
              </w:rPr>
              <w:t>£1,511,318.83</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7CE2F24F" w14:textId="2D2B41FF">
            <w:r w:rsidRPr="714252C5">
              <w:rPr>
                <w:rFonts w:ascii="Calibri" w:hAnsi="Calibri" w:eastAsia="Calibri" w:cs="Calibri"/>
                <w:color w:val="000000" w:themeColor="text1"/>
              </w:rPr>
              <w:t>2490</w:t>
            </w:r>
          </w:p>
        </w:tc>
      </w:tr>
      <w:tr w:rsidR="714252C5" w:rsidTr="714252C5" w14:paraId="7FFAC9ED"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05D1A1B9" w14:textId="6C2E4C4E">
            <w:r w:rsidRPr="714252C5">
              <w:rPr>
                <w:rFonts w:ascii="Calibri" w:hAnsi="Calibri" w:eastAsia="Calibri" w:cs="Calibri"/>
                <w:color w:val="000000" w:themeColor="text1"/>
              </w:rPr>
              <w:t>Fascia &amp; Glazing Supplies</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036313C1" w14:textId="106F5942">
            <w:r w:rsidRPr="714252C5">
              <w:rPr>
                <w:rFonts w:ascii="Calibri" w:hAnsi="Calibri" w:eastAsia="Calibri" w:cs="Calibri"/>
                <w:color w:val="000000" w:themeColor="text1"/>
              </w:rPr>
              <w:t>£113,098.64</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27A543BC" w14:textId="007205B5">
            <w:r w:rsidRPr="714252C5">
              <w:rPr>
                <w:rFonts w:ascii="Calibri" w:hAnsi="Calibri" w:eastAsia="Calibri" w:cs="Calibri"/>
                <w:color w:val="000000" w:themeColor="text1"/>
              </w:rPr>
              <w:t>1482</w:t>
            </w:r>
          </w:p>
        </w:tc>
      </w:tr>
      <w:tr w:rsidR="714252C5" w:rsidTr="714252C5" w14:paraId="72C31FAE"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43B4FA2C" w14:textId="070B917C">
            <w:proofErr w:type="spellStart"/>
            <w:r w:rsidRPr="714252C5">
              <w:rPr>
                <w:rFonts w:ascii="Calibri" w:hAnsi="Calibri" w:eastAsia="Calibri" w:cs="Calibri"/>
                <w:color w:val="000000" w:themeColor="text1"/>
              </w:rPr>
              <w:t>Runwood</w:t>
            </w:r>
            <w:proofErr w:type="spellEnd"/>
            <w:r w:rsidRPr="714252C5">
              <w:rPr>
                <w:rFonts w:ascii="Calibri" w:hAnsi="Calibri" w:eastAsia="Calibri" w:cs="Calibri"/>
                <w:color w:val="000000" w:themeColor="text1"/>
              </w:rPr>
              <w:t xml:space="preserve"> Home plc</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5E3D1724" w14:textId="3BFF51C1">
            <w:r w:rsidRPr="714252C5">
              <w:rPr>
                <w:rFonts w:ascii="Calibri" w:hAnsi="Calibri" w:eastAsia="Calibri" w:cs="Calibri"/>
                <w:color w:val="000000" w:themeColor="text1"/>
              </w:rPr>
              <w:t>£1,668,235.09</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686D7B6C" w14:textId="7614ACAB">
            <w:r w:rsidRPr="714252C5">
              <w:rPr>
                <w:rFonts w:ascii="Calibri" w:hAnsi="Calibri" w:eastAsia="Calibri" w:cs="Calibri"/>
                <w:color w:val="000000" w:themeColor="text1"/>
              </w:rPr>
              <w:t>1119</w:t>
            </w:r>
          </w:p>
        </w:tc>
      </w:tr>
      <w:tr w:rsidR="714252C5" w:rsidTr="714252C5" w14:paraId="4FEE5A86"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1799088C" w14:textId="6C88FFB9">
            <w:r w:rsidRPr="714252C5">
              <w:rPr>
                <w:rFonts w:ascii="Calibri" w:hAnsi="Calibri" w:eastAsia="Calibri" w:cs="Calibri"/>
                <w:color w:val="000000" w:themeColor="text1"/>
              </w:rPr>
              <w:t>Next Step Support Ltd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1406B19B" w14:textId="266493A9">
            <w:r w:rsidRPr="714252C5">
              <w:rPr>
                <w:rFonts w:ascii="Calibri" w:hAnsi="Calibri" w:eastAsia="Calibri" w:cs="Calibri"/>
                <w:color w:val="000000" w:themeColor="text1"/>
              </w:rPr>
              <w:t>£844,367.72</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429A0004" w14:textId="0D73C77B">
            <w:r w:rsidRPr="714252C5">
              <w:rPr>
                <w:rFonts w:ascii="Calibri" w:hAnsi="Calibri" w:eastAsia="Calibri" w:cs="Calibri"/>
                <w:color w:val="000000" w:themeColor="text1"/>
              </w:rPr>
              <w:t>1031</w:t>
            </w:r>
          </w:p>
        </w:tc>
      </w:tr>
      <w:tr w:rsidR="714252C5" w:rsidTr="714252C5" w14:paraId="3AD87110"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23A2FB7E" w14:textId="6F077E3F">
            <w:r w:rsidRPr="714252C5">
              <w:rPr>
                <w:rFonts w:ascii="Calibri" w:hAnsi="Calibri" w:eastAsia="Calibri" w:cs="Calibri"/>
                <w:color w:val="000000" w:themeColor="text1"/>
              </w:rPr>
              <w:t>Courage Health care</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44178566" w14:textId="48E722C3">
            <w:r w:rsidRPr="714252C5">
              <w:rPr>
                <w:rFonts w:ascii="Calibri" w:hAnsi="Calibri" w:eastAsia="Calibri" w:cs="Calibri"/>
                <w:color w:val="000000" w:themeColor="text1"/>
              </w:rPr>
              <w:t>£753,077.52</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66B63815" w14:textId="13E96D31">
            <w:r w:rsidRPr="714252C5">
              <w:rPr>
                <w:rFonts w:ascii="Calibri" w:hAnsi="Calibri" w:eastAsia="Calibri" w:cs="Calibri"/>
                <w:color w:val="000000" w:themeColor="text1"/>
              </w:rPr>
              <w:t>940</w:t>
            </w:r>
          </w:p>
        </w:tc>
      </w:tr>
      <w:tr w:rsidR="714252C5" w:rsidTr="714252C5" w14:paraId="6696F827"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16AD540C" w14:textId="22CEC6FC">
            <w:r w:rsidRPr="714252C5">
              <w:rPr>
                <w:rFonts w:ascii="Calibri" w:hAnsi="Calibri" w:eastAsia="Calibri" w:cs="Calibri"/>
                <w:color w:val="000000" w:themeColor="text1"/>
              </w:rPr>
              <w:t>The Georgiana</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52CA16C7" w14:textId="656C8467">
            <w:r w:rsidRPr="714252C5">
              <w:rPr>
                <w:rFonts w:ascii="Calibri" w:hAnsi="Calibri" w:eastAsia="Calibri" w:cs="Calibri"/>
                <w:color w:val="000000" w:themeColor="text1"/>
              </w:rPr>
              <w:t>£1,560,295.82</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203B74AD" w14:textId="26CD9DDD">
            <w:r w:rsidRPr="714252C5">
              <w:rPr>
                <w:rFonts w:ascii="Calibri" w:hAnsi="Calibri" w:eastAsia="Calibri" w:cs="Calibri"/>
                <w:color w:val="000000" w:themeColor="text1"/>
              </w:rPr>
              <w:t>893</w:t>
            </w:r>
          </w:p>
        </w:tc>
      </w:tr>
      <w:tr w:rsidR="714252C5" w:rsidTr="714252C5" w14:paraId="52775E1C"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0D2A2C3A" w14:textId="2A9F570F">
            <w:r w:rsidRPr="714252C5">
              <w:rPr>
                <w:rFonts w:ascii="Calibri" w:hAnsi="Calibri" w:eastAsia="Calibri" w:cs="Calibri"/>
                <w:color w:val="000000" w:themeColor="text1"/>
              </w:rPr>
              <w:t>Window Parts Ltd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6038FD96" w14:textId="0A1C2FBA">
            <w:r w:rsidRPr="714252C5">
              <w:rPr>
                <w:rFonts w:ascii="Calibri" w:hAnsi="Calibri" w:eastAsia="Calibri" w:cs="Calibri"/>
                <w:color w:val="000000" w:themeColor="text1"/>
              </w:rPr>
              <w:t>£59,909.64</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263B9C34" w14:textId="5033696E">
            <w:r w:rsidRPr="714252C5">
              <w:rPr>
                <w:rFonts w:ascii="Calibri" w:hAnsi="Calibri" w:eastAsia="Calibri" w:cs="Calibri"/>
                <w:color w:val="000000" w:themeColor="text1"/>
              </w:rPr>
              <w:t>851</w:t>
            </w:r>
          </w:p>
        </w:tc>
      </w:tr>
      <w:tr w:rsidR="714252C5" w:rsidTr="714252C5" w14:paraId="0DEF5073"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30C6BEAB" w14:textId="61D0B306">
            <w:r w:rsidRPr="714252C5">
              <w:rPr>
                <w:rFonts w:ascii="Calibri" w:hAnsi="Calibri" w:eastAsia="Calibri" w:cs="Calibri"/>
                <w:color w:val="000000" w:themeColor="text1"/>
              </w:rPr>
              <w:t xml:space="preserve">Alliance Automotive t/as Motor </w:t>
            </w:r>
            <w:proofErr w:type="spellStart"/>
            <w:r w:rsidRPr="714252C5">
              <w:rPr>
                <w:rFonts w:ascii="Calibri" w:hAnsi="Calibri" w:eastAsia="Calibri" w:cs="Calibri"/>
                <w:color w:val="000000" w:themeColor="text1"/>
              </w:rPr>
              <w:t>Serv</w:t>
            </w:r>
            <w:proofErr w:type="spellEnd"/>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2D2C997F" w14:textId="7A0FD9DB">
            <w:r w:rsidRPr="714252C5">
              <w:rPr>
                <w:rFonts w:ascii="Calibri" w:hAnsi="Calibri" w:eastAsia="Calibri" w:cs="Calibri"/>
                <w:color w:val="000000" w:themeColor="text1"/>
              </w:rPr>
              <w:t>£54,718.93</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00A526D5" w14:textId="13ED3044">
            <w:r w:rsidRPr="714252C5">
              <w:rPr>
                <w:rFonts w:ascii="Calibri" w:hAnsi="Calibri" w:eastAsia="Calibri" w:cs="Calibri"/>
                <w:color w:val="000000" w:themeColor="text1"/>
              </w:rPr>
              <w:t>824</w:t>
            </w:r>
          </w:p>
        </w:tc>
      </w:tr>
      <w:tr w:rsidR="714252C5" w:rsidTr="714252C5" w14:paraId="3B3F96C9"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7346AC8E" w14:textId="1C9B9B22">
            <w:r w:rsidRPr="714252C5">
              <w:rPr>
                <w:rFonts w:ascii="Calibri" w:hAnsi="Calibri" w:eastAsia="Calibri" w:cs="Calibri"/>
                <w:color w:val="000000" w:themeColor="text1"/>
              </w:rPr>
              <w:t>HC-One Oval Limited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0472E8B4" w14:textId="6D3C02D9">
            <w:r w:rsidRPr="714252C5">
              <w:rPr>
                <w:rFonts w:ascii="Calibri" w:hAnsi="Calibri" w:eastAsia="Calibri" w:cs="Calibri"/>
                <w:color w:val="000000" w:themeColor="text1"/>
              </w:rPr>
              <w:t>£1,735,444.90</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3FE03D82" w14:textId="14BE5D94">
            <w:r w:rsidRPr="714252C5">
              <w:rPr>
                <w:rFonts w:ascii="Calibri" w:hAnsi="Calibri" w:eastAsia="Calibri" w:cs="Calibri"/>
                <w:color w:val="000000" w:themeColor="text1"/>
              </w:rPr>
              <w:t>807</w:t>
            </w:r>
          </w:p>
        </w:tc>
      </w:tr>
      <w:tr w:rsidR="714252C5" w:rsidTr="714252C5" w14:paraId="2859633D"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01EEAC26" w14:textId="49D85198">
            <w:r w:rsidRPr="714252C5">
              <w:rPr>
                <w:rFonts w:ascii="Calibri" w:hAnsi="Calibri" w:eastAsia="Calibri" w:cs="Calibri"/>
                <w:color w:val="000000" w:themeColor="text1"/>
              </w:rPr>
              <w:t>Apex Homes Limited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1CEEC387" w14:textId="7426C382">
            <w:r w:rsidRPr="714252C5">
              <w:rPr>
                <w:rFonts w:ascii="Calibri" w:hAnsi="Calibri" w:eastAsia="Calibri" w:cs="Calibri"/>
                <w:color w:val="000000" w:themeColor="text1"/>
              </w:rPr>
              <w:t>£1,991,193.42</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47F2494C" w14:textId="2E228758">
            <w:r w:rsidRPr="714252C5">
              <w:rPr>
                <w:rFonts w:ascii="Calibri" w:hAnsi="Calibri" w:eastAsia="Calibri" w:cs="Calibri"/>
                <w:color w:val="000000" w:themeColor="text1"/>
              </w:rPr>
              <w:t>803</w:t>
            </w:r>
          </w:p>
        </w:tc>
      </w:tr>
      <w:tr w:rsidR="714252C5" w:rsidTr="714252C5" w14:paraId="64F50AEF"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347500F4" w14:textId="7E04FB8B">
            <w:r w:rsidRPr="714252C5">
              <w:rPr>
                <w:rFonts w:ascii="Calibri" w:hAnsi="Calibri" w:eastAsia="Calibri" w:cs="Calibri"/>
                <w:color w:val="000000" w:themeColor="text1"/>
              </w:rPr>
              <w:t>Gibbs &amp; Dandy Plc</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33551833" w14:textId="3F68A51C">
            <w:r w:rsidRPr="714252C5">
              <w:rPr>
                <w:rFonts w:ascii="Calibri" w:hAnsi="Calibri" w:eastAsia="Calibri" w:cs="Calibri"/>
                <w:color w:val="000000" w:themeColor="text1"/>
              </w:rPr>
              <w:t>£81,472.56</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04899C37" w14:textId="2AFAF95D">
            <w:r w:rsidRPr="714252C5">
              <w:rPr>
                <w:rFonts w:ascii="Calibri" w:hAnsi="Calibri" w:eastAsia="Calibri" w:cs="Calibri"/>
                <w:color w:val="000000" w:themeColor="text1"/>
              </w:rPr>
              <w:t>799</w:t>
            </w:r>
          </w:p>
        </w:tc>
      </w:tr>
      <w:tr w:rsidR="714252C5" w:rsidTr="714252C5" w14:paraId="287301CA"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021DF46B" w14:textId="1E9D10D8">
            <w:r w:rsidRPr="714252C5">
              <w:rPr>
                <w:rFonts w:ascii="Calibri" w:hAnsi="Calibri" w:eastAsia="Calibri" w:cs="Calibri"/>
                <w:color w:val="000000" w:themeColor="text1"/>
              </w:rPr>
              <w:t>Heathrow Truck Centre Ltd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6615CB11" w14:textId="0CAE986D">
            <w:r w:rsidRPr="714252C5">
              <w:rPr>
                <w:rFonts w:ascii="Calibri" w:hAnsi="Calibri" w:eastAsia="Calibri" w:cs="Calibri"/>
                <w:color w:val="000000" w:themeColor="text1"/>
              </w:rPr>
              <w:t>£165,259.91</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13128D2B" w14:textId="394B738B">
            <w:r w:rsidRPr="714252C5">
              <w:rPr>
                <w:rFonts w:ascii="Calibri" w:hAnsi="Calibri" w:eastAsia="Calibri" w:cs="Calibri"/>
                <w:color w:val="000000" w:themeColor="text1"/>
              </w:rPr>
              <w:t>730</w:t>
            </w:r>
          </w:p>
        </w:tc>
      </w:tr>
      <w:tr w:rsidR="714252C5" w:rsidTr="714252C5" w14:paraId="6EF50E45"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1162A179" w14:textId="32863B89">
            <w:r w:rsidRPr="714252C5">
              <w:rPr>
                <w:rFonts w:ascii="Calibri" w:hAnsi="Calibri" w:eastAsia="Calibri" w:cs="Calibri"/>
                <w:color w:val="000000" w:themeColor="text1"/>
              </w:rPr>
              <w:t>PPG Architectural Coatings UK Limited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1E18DB8F" w14:textId="7E841D7A">
            <w:r w:rsidRPr="714252C5">
              <w:rPr>
                <w:rFonts w:ascii="Calibri" w:hAnsi="Calibri" w:eastAsia="Calibri" w:cs="Calibri"/>
                <w:color w:val="000000" w:themeColor="text1"/>
              </w:rPr>
              <w:t>£45,802.84</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0A399A8A" w14:textId="56D11166">
            <w:r w:rsidRPr="714252C5">
              <w:rPr>
                <w:rFonts w:ascii="Calibri" w:hAnsi="Calibri" w:eastAsia="Calibri" w:cs="Calibri"/>
                <w:color w:val="000000" w:themeColor="text1"/>
              </w:rPr>
              <w:t>726</w:t>
            </w:r>
          </w:p>
        </w:tc>
      </w:tr>
      <w:tr w:rsidR="714252C5" w:rsidTr="714252C5" w14:paraId="49BD351E"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742B26F4" w14:textId="71357281">
            <w:r w:rsidRPr="714252C5">
              <w:rPr>
                <w:rFonts w:ascii="Calibri" w:hAnsi="Calibri" w:eastAsia="Calibri" w:cs="Calibri"/>
                <w:color w:val="000000" w:themeColor="text1"/>
              </w:rPr>
              <w:t>T &amp; L Flooring Ltd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4F78DE69" w14:textId="1D22D3AC">
            <w:r w:rsidRPr="714252C5">
              <w:rPr>
                <w:rFonts w:ascii="Calibri" w:hAnsi="Calibri" w:eastAsia="Calibri" w:cs="Calibri"/>
                <w:color w:val="000000" w:themeColor="text1"/>
              </w:rPr>
              <w:t>£494,254.00</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169B61CA" w14:textId="08D8EB34">
            <w:r w:rsidRPr="714252C5">
              <w:rPr>
                <w:rFonts w:ascii="Calibri" w:hAnsi="Calibri" w:eastAsia="Calibri" w:cs="Calibri"/>
                <w:color w:val="000000" w:themeColor="text1"/>
              </w:rPr>
              <w:t>715</w:t>
            </w:r>
          </w:p>
        </w:tc>
      </w:tr>
      <w:tr w:rsidR="714252C5" w:rsidTr="714252C5" w14:paraId="6DCB6F95"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0E2895E0" w14:textId="03076E72">
            <w:r w:rsidRPr="714252C5">
              <w:rPr>
                <w:rFonts w:ascii="Calibri" w:hAnsi="Calibri" w:eastAsia="Calibri" w:cs="Calibri"/>
                <w:color w:val="000000" w:themeColor="text1"/>
              </w:rPr>
              <w:t>The Strathmore Hotel (</w:t>
            </w:r>
            <w:proofErr w:type="spellStart"/>
            <w:r w:rsidRPr="714252C5">
              <w:rPr>
                <w:rFonts w:ascii="Calibri" w:hAnsi="Calibri" w:eastAsia="Calibri" w:cs="Calibri"/>
                <w:color w:val="000000" w:themeColor="text1"/>
              </w:rPr>
              <w:t>luton</w:t>
            </w:r>
            <w:proofErr w:type="spellEnd"/>
            <w:r w:rsidRPr="714252C5">
              <w:rPr>
                <w:rFonts w:ascii="Calibri" w:hAnsi="Calibri" w:eastAsia="Calibri" w:cs="Calibri"/>
                <w:color w:val="000000" w:themeColor="text1"/>
              </w:rPr>
              <w:t>) Limited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2142A3A8" w14:textId="66549AEA">
            <w:r w:rsidRPr="714252C5">
              <w:rPr>
                <w:rFonts w:ascii="Calibri" w:hAnsi="Calibri" w:eastAsia="Calibri" w:cs="Calibri"/>
                <w:color w:val="000000" w:themeColor="text1"/>
              </w:rPr>
              <w:t>£270,748.66</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15FF5FA3" w14:textId="42D3AA38">
            <w:r w:rsidRPr="714252C5">
              <w:rPr>
                <w:rFonts w:ascii="Calibri" w:hAnsi="Calibri" w:eastAsia="Calibri" w:cs="Calibri"/>
                <w:color w:val="000000" w:themeColor="text1"/>
              </w:rPr>
              <w:t>700</w:t>
            </w:r>
          </w:p>
        </w:tc>
      </w:tr>
      <w:tr w:rsidR="714252C5" w:rsidTr="714252C5" w14:paraId="411D120A"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674E8B13" w14:textId="2AC24CB8">
            <w:r w:rsidRPr="714252C5">
              <w:rPr>
                <w:rFonts w:ascii="Calibri" w:hAnsi="Calibri" w:eastAsia="Calibri" w:cs="Calibri"/>
                <w:color w:val="000000" w:themeColor="text1"/>
              </w:rPr>
              <w:t>Headway Luton</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2C399324" w14:textId="2A0C4BC4">
            <w:r w:rsidRPr="714252C5">
              <w:rPr>
                <w:rFonts w:ascii="Calibri" w:hAnsi="Calibri" w:eastAsia="Calibri" w:cs="Calibri"/>
                <w:color w:val="000000" w:themeColor="text1"/>
              </w:rPr>
              <w:t>£104,107.00</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3518620F" w14:textId="79706675">
            <w:r w:rsidRPr="714252C5">
              <w:rPr>
                <w:rFonts w:ascii="Calibri" w:hAnsi="Calibri" w:eastAsia="Calibri" w:cs="Calibri"/>
                <w:color w:val="000000" w:themeColor="text1"/>
              </w:rPr>
              <w:t>675</w:t>
            </w:r>
          </w:p>
        </w:tc>
      </w:tr>
      <w:tr w:rsidR="714252C5" w:rsidTr="714252C5" w14:paraId="4D63E4F4"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5AA4E9A1" w14:textId="7A3BF5A8">
            <w:r w:rsidRPr="714252C5">
              <w:rPr>
                <w:rFonts w:ascii="Calibri" w:hAnsi="Calibri" w:eastAsia="Calibri" w:cs="Calibri"/>
                <w:color w:val="000000" w:themeColor="text1"/>
              </w:rPr>
              <w:t>J P Hygiene Supplies</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6EE3126D" w14:textId="091EE230">
            <w:r w:rsidRPr="714252C5">
              <w:rPr>
                <w:rFonts w:ascii="Calibri" w:hAnsi="Calibri" w:eastAsia="Calibri" w:cs="Calibri"/>
                <w:color w:val="000000" w:themeColor="text1"/>
              </w:rPr>
              <w:t>£94,244.89</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67E6788D" w14:textId="439F18F4">
            <w:r w:rsidRPr="714252C5">
              <w:rPr>
                <w:rFonts w:ascii="Calibri" w:hAnsi="Calibri" w:eastAsia="Calibri" w:cs="Calibri"/>
                <w:color w:val="000000" w:themeColor="text1"/>
              </w:rPr>
              <w:t>547</w:t>
            </w:r>
          </w:p>
        </w:tc>
      </w:tr>
      <w:tr w:rsidR="714252C5" w:rsidTr="714252C5" w14:paraId="712EA5FA"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5E26D595" w14:textId="1B8A7FF1">
            <w:r w:rsidRPr="714252C5">
              <w:rPr>
                <w:rFonts w:ascii="Calibri" w:hAnsi="Calibri" w:eastAsia="Calibri" w:cs="Calibri"/>
                <w:color w:val="000000" w:themeColor="text1"/>
              </w:rPr>
              <w:t>UC (Sealed Units) Limited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424E9DC2" w14:textId="057D8DB0">
            <w:r w:rsidRPr="714252C5">
              <w:rPr>
                <w:rFonts w:ascii="Calibri" w:hAnsi="Calibri" w:eastAsia="Calibri" w:cs="Calibri"/>
                <w:color w:val="000000" w:themeColor="text1"/>
              </w:rPr>
              <w:t>£23,145.27</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032E727A" w14:textId="49139D32">
            <w:r w:rsidRPr="714252C5">
              <w:rPr>
                <w:rFonts w:ascii="Calibri" w:hAnsi="Calibri" w:eastAsia="Calibri" w:cs="Calibri"/>
                <w:color w:val="000000" w:themeColor="text1"/>
              </w:rPr>
              <w:t>532</w:t>
            </w:r>
          </w:p>
        </w:tc>
      </w:tr>
      <w:tr w:rsidR="714252C5" w:rsidTr="714252C5" w14:paraId="0646F375" w14:textId="77777777">
        <w:trPr>
          <w:trHeight w:val="300"/>
        </w:trPr>
        <w:tc>
          <w:tcPr>
            <w:tcW w:w="4857" w:type="dxa"/>
            <w:tcBorders>
              <w:top w:val="nil"/>
              <w:left w:val="nil"/>
              <w:bottom w:val="nil"/>
              <w:right w:val="nil"/>
            </w:tcBorders>
            <w:tcMar>
              <w:top w:w="15" w:type="dxa"/>
              <w:left w:w="15" w:type="dxa"/>
              <w:right w:w="15" w:type="dxa"/>
            </w:tcMar>
            <w:vAlign w:val="bottom"/>
          </w:tcPr>
          <w:p w:rsidR="714252C5" w:rsidP="714252C5" w:rsidRDefault="714252C5" w14:paraId="3B92318B" w14:textId="0548539B">
            <w:r w:rsidRPr="714252C5">
              <w:rPr>
                <w:rFonts w:ascii="Calibri" w:hAnsi="Calibri" w:eastAsia="Calibri" w:cs="Calibri"/>
                <w:color w:val="000000" w:themeColor="text1"/>
              </w:rPr>
              <w:t>Formula Aluminium Systems Ltd</w:t>
            </w:r>
          </w:p>
        </w:tc>
        <w:tc>
          <w:tcPr>
            <w:tcW w:w="1699" w:type="dxa"/>
            <w:tcBorders>
              <w:top w:val="nil"/>
              <w:left w:val="nil"/>
              <w:bottom w:val="nil"/>
              <w:right w:val="nil"/>
            </w:tcBorders>
            <w:tcMar>
              <w:top w:w="15" w:type="dxa"/>
              <w:left w:w="15" w:type="dxa"/>
              <w:right w:w="15" w:type="dxa"/>
            </w:tcMar>
            <w:vAlign w:val="bottom"/>
          </w:tcPr>
          <w:p w:rsidR="714252C5" w:rsidP="714252C5" w:rsidRDefault="714252C5" w14:paraId="451E3FAF" w14:textId="2CFD9BB9">
            <w:r w:rsidRPr="714252C5">
              <w:rPr>
                <w:rFonts w:ascii="Calibri" w:hAnsi="Calibri" w:eastAsia="Calibri" w:cs="Calibri"/>
                <w:color w:val="000000" w:themeColor="text1"/>
              </w:rPr>
              <w:t>£1,317,352.71</w:t>
            </w:r>
          </w:p>
        </w:tc>
        <w:tc>
          <w:tcPr>
            <w:tcW w:w="2459" w:type="dxa"/>
            <w:tcBorders>
              <w:top w:val="nil"/>
              <w:left w:val="nil"/>
              <w:bottom w:val="nil"/>
              <w:right w:val="nil"/>
            </w:tcBorders>
            <w:tcMar>
              <w:top w:w="15" w:type="dxa"/>
              <w:left w:w="15" w:type="dxa"/>
              <w:right w:w="15" w:type="dxa"/>
            </w:tcMar>
            <w:vAlign w:val="bottom"/>
          </w:tcPr>
          <w:p w:rsidR="714252C5" w:rsidP="714252C5" w:rsidRDefault="714252C5" w14:paraId="449DFC09" w14:textId="4157301F">
            <w:r w:rsidRPr="714252C5">
              <w:rPr>
                <w:rFonts w:ascii="Calibri" w:hAnsi="Calibri" w:eastAsia="Calibri" w:cs="Calibri"/>
                <w:color w:val="000000" w:themeColor="text1"/>
              </w:rPr>
              <w:t>527</w:t>
            </w:r>
          </w:p>
        </w:tc>
      </w:tr>
    </w:tbl>
    <w:p w:rsidR="00C8194B" w:rsidP="714252C5" w:rsidRDefault="00C8194B" w14:paraId="7BC3BF49" w14:textId="51123675">
      <w:pPr>
        <w:pStyle w:val="ListParagraph"/>
        <w:ind w:left="0"/>
        <w:rPr>
          <w:rFonts w:ascii="Arial" w:hAnsi="Arial" w:cs="Arial"/>
          <w:sz w:val="20"/>
          <w:szCs w:val="20"/>
        </w:rPr>
      </w:pPr>
    </w:p>
    <w:p w:rsidR="00C8194B" w:rsidP="714252C5" w:rsidRDefault="2365712C" w14:paraId="2FF3E797" w14:textId="20462890">
      <w:pPr>
        <w:pStyle w:val="ListParagraph"/>
        <w:ind w:left="0"/>
        <w:rPr>
          <w:rFonts w:ascii="Arial" w:hAnsi="Arial" w:cs="Arial"/>
          <w:sz w:val="20"/>
          <w:szCs w:val="20"/>
        </w:rPr>
      </w:pPr>
      <w:r w:rsidRPr="714252C5">
        <w:rPr>
          <w:rFonts w:ascii="Arial" w:hAnsi="Arial" w:cs="Arial"/>
          <w:sz w:val="20"/>
          <w:szCs w:val="20"/>
        </w:rPr>
        <w:t xml:space="preserve">We can derive from this that </w:t>
      </w:r>
      <w:r w:rsidRPr="714252C5" w:rsidR="419A2D40">
        <w:rPr>
          <w:rFonts w:ascii="Arial" w:hAnsi="Arial" w:cs="Arial"/>
          <w:sz w:val="20"/>
          <w:szCs w:val="20"/>
        </w:rPr>
        <w:t>by</w:t>
      </w:r>
      <w:r w:rsidRPr="714252C5">
        <w:rPr>
          <w:rFonts w:ascii="Arial" w:hAnsi="Arial" w:cs="Arial"/>
          <w:sz w:val="20"/>
          <w:szCs w:val="20"/>
        </w:rPr>
        <w:t xml:space="preserve"> reviewing the top 20 valued suppliers being used without contracts in place</w:t>
      </w:r>
      <w:r w:rsidR="009B0A98">
        <w:rPr>
          <w:rFonts w:ascii="Arial" w:hAnsi="Arial" w:cs="Arial"/>
          <w:sz w:val="20"/>
          <w:szCs w:val="20"/>
        </w:rPr>
        <w:t>,</w:t>
      </w:r>
      <w:r w:rsidRPr="714252C5">
        <w:rPr>
          <w:rFonts w:ascii="Arial" w:hAnsi="Arial" w:cs="Arial"/>
          <w:sz w:val="20"/>
          <w:szCs w:val="20"/>
        </w:rPr>
        <w:t xml:space="preserve"> a large number are with care companies</w:t>
      </w:r>
      <w:r w:rsidRPr="714252C5" w:rsidR="464C326C">
        <w:rPr>
          <w:rFonts w:ascii="Arial" w:hAnsi="Arial" w:cs="Arial"/>
          <w:sz w:val="20"/>
          <w:szCs w:val="20"/>
        </w:rPr>
        <w:t xml:space="preserve"> which may be compliant under the light touch regime.</w:t>
      </w:r>
    </w:p>
    <w:p w:rsidR="00C8194B" w:rsidP="714252C5" w:rsidRDefault="464C326C" w14:paraId="331831A9" w14:textId="2E66CE3D">
      <w:pPr>
        <w:pStyle w:val="ListParagraph"/>
        <w:ind w:left="0"/>
        <w:rPr>
          <w:rFonts w:ascii="Arial" w:hAnsi="Arial" w:cs="Arial"/>
          <w:sz w:val="20"/>
          <w:szCs w:val="20"/>
        </w:rPr>
      </w:pPr>
      <w:r w:rsidRPr="714252C5">
        <w:rPr>
          <w:rFonts w:ascii="Arial" w:hAnsi="Arial" w:cs="Arial"/>
          <w:sz w:val="20"/>
          <w:szCs w:val="20"/>
        </w:rPr>
        <w:t>There are however thousands of transactions with motoring firms and FM services. These will need to be checked to determine if they are using a framework to call-off.</w:t>
      </w:r>
    </w:p>
    <w:p w:rsidR="00C8194B" w:rsidP="714252C5" w:rsidRDefault="00C8194B" w14:paraId="3F7CDD63" w14:textId="7D1B4F9C">
      <w:pPr>
        <w:pStyle w:val="ListParagraph"/>
        <w:ind w:left="0"/>
        <w:rPr>
          <w:rFonts w:ascii="Arial" w:hAnsi="Arial" w:cs="Arial"/>
          <w:sz w:val="20"/>
          <w:szCs w:val="20"/>
        </w:rPr>
      </w:pPr>
    </w:p>
    <w:p w:rsidR="00C8194B" w:rsidP="714252C5" w:rsidRDefault="38C5FEBF" w14:paraId="2778032B" w14:textId="6882E4E3">
      <w:pPr>
        <w:pStyle w:val="ListParagraph"/>
        <w:ind w:left="0"/>
        <w:rPr>
          <w:rFonts w:ascii="Arial" w:hAnsi="Arial" w:cs="Arial"/>
          <w:sz w:val="20"/>
          <w:szCs w:val="20"/>
        </w:rPr>
      </w:pPr>
      <w:r w:rsidRPr="4C30C4F4">
        <w:rPr>
          <w:rFonts w:ascii="Arial" w:hAnsi="Arial" w:cs="Arial"/>
          <w:sz w:val="20"/>
          <w:szCs w:val="20"/>
        </w:rPr>
        <w:t xml:space="preserve">Off-contract spend can be hugely detrimental to contracting authorities as </w:t>
      </w:r>
      <w:r w:rsidRPr="4C30C4F4" w:rsidR="477F34E8">
        <w:rPr>
          <w:rFonts w:ascii="Arial" w:hAnsi="Arial" w:cs="Arial"/>
          <w:sz w:val="20"/>
          <w:szCs w:val="20"/>
        </w:rPr>
        <w:t>it does not allow formal management</w:t>
      </w:r>
      <w:r w:rsidRPr="4C30C4F4" w:rsidR="720147E2">
        <w:rPr>
          <w:rFonts w:ascii="Arial" w:hAnsi="Arial" w:cs="Arial"/>
          <w:sz w:val="20"/>
          <w:szCs w:val="20"/>
        </w:rPr>
        <w:t xml:space="preserve"> if</w:t>
      </w:r>
      <w:r w:rsidRPr="4C30C4F4" w:rsidR="477F34E8">
        <w:rPr>
          <w:rFonts w:ascii="Arial" w:hAnsi="Arial" w:cs="Arial"/>
          <w:sz w:val="20"/>
          <w:szCs w:val="20"/>
        </w:rPr>
        <w:t xml:space="preserve"> contracts </w:t>
      </w:r>
      <w:r w:rsidRPr="4C30C4F4" w:rsidR="13749292">
        <w:rPr>
          <w:rFonts w:ascii="Arial" w:hAnsi="Arial" w:cs="Arial"/>
          <w:sz w:val="20"/>
          <w:szCs w:val="20"/>
        </w:rPr>
        <w:t>aren't</w:t>
      </w:r>
      <w:r w:rsidRPr="4C30C4F4" w:rsidR="477F34E8">
        <w:rPr>
          <w:rFonts w:ascii="Arial" w:hAnsi="Arial" w:cs="Arial"/>
          <w:sz w:val="20"/>
          <w:szCs w:val="20"/>
        </w:rPr>
        <w:t xml:space="preserve"> in place, obligations and performance metrics aren</w:t>
      </w:r>
      <w:r w:rsidRPr="4C30C4F4" w:rsidR="03A41857">
        <w:rPr>
          <w:rFonts w:ascii="Arial" w:hAnsi="Arial" w:cs="Arial"/>
          <w:sz w:val="20"/>
          <w:szCs w:val="20"/>
        </w:rPr>
        <w:t>’</w:t>
      </w:r>
      <w:r w:rsidRPr="4C30C4F4" w:rsidR="477F34E8">
        <w:rPr>
          <w:rFonts w:ascii="Arial" w:hAnsi="Arial" w:cs="Arial"/>
          <w:sz w:val="20"/>
          <w:szCs w:val="20"/>
        </w:rPr>
        <w:t>t defined and leverage cannot be made using the contract terms and conditions.</w:t>
      </w:r>
      <w:r w:rsidRPr="4C30C4F4" w:rsidR="28BB4B74">
        <w:rPr>
          <w:rFonts w:ascii="Arial" w:hAnsi="Arial" w:cs="Arial"/>
          <w:sz w:val="20"/>
          <w:szCs w:val="20"/>
        </w:rPr>
        <w:t xml:space="preserve"> There would be a real opportunity to bring this spend onto contracts and identify where risks are currently not being managed effectively,</w:t>
      </w:r>
    </w:p>
    <w:p w:rsidR="00C8194B" w:rsidP="714252C5" w:rsidRDefault="00C8194B" w14:paraId="052AEA6D" w14:textId="7EAEB151">
      <w:pPr>
        <w:pStyle w:val="ListParagraph"/>
        <w:ind w:left="0"/>
        <w:rPr>
          <w:rFonts w:ascii="Arial" w:hAnsi="Arial" w:cs="Arial"/>
          <w:b/>
          <w:bCs/>
          <w:sz w:val="20"/>
          <w:szCs w:val="20"/>
        </w:rPr>
      </w:pPr>
    </w:p>
    <w:p w:rsidR="00C8194B" w:rsidP="714252C5" w:rsidRDefault="00C8194B" w14:paraId="6A25E588" w14:textId="34806C7F">
      <w:pPr>
        <w:pStyle w:val="ListParagraph"/>
        <w:ind w:left="0"/>
        <w:rPr>
          <w:rFonts w:ascii="Arial" w:hAnsi="Arial" w:cs="Arial"/>
          <w:b/>
          <w:bCs/>
          <w:sz w:val="20"/>
          <w:szCs w:val="20"/>
        </w:rPr>
      </w:pPr>
    </w:p>
    <w:p w:rsidR="00096B16" w:rsidP="4C30C4F4" w:rsidRDefault="31A649D9" w14:paraId="0D8BB678" w14:textId="77777777">
      <w:pPr>
        <w:pStyle w:val="ListParagraph"/>
        <w:ind w:left="0"/>
        <w:rPr>
          <w:rFonts w:ascii="Arial" w:hAnsi="Arial" w:cs="Arial"/>
          <w:b/>
          <w:bCs/>
          <w:sz w:val="20"/>
          <w:szCs w:val="20"/>
        </w:rPr>
      </w:pPr>
      <w:r w:rsidRPr="714252C5">
        <w:rPr>
          <w:rFonts w:ascii="Arial" w:hAnsi="Arial" w:cs="Arial"/>
          <w:b/>
          <w:bCs/>
          <w:sz w:val="20"/>
          <w:szCs w:val="20"/>
        </w:rPr>
        <w:t>Tail Spend</w:t>
      </w:r>
    </w:p>
    <w:p w:rsidR="00096B16" w:rsidP="4C30C4F4" w:rsidRDefault="00096B16" w14:paraId="6FCE5A6D" w14:textId="77777777">
      <w:pPr>
        <w:pStyle w:val="ListParagraph"/>
        <w:ind w:left="0"/>
        <w:rPr>
          <w:rFonts w:ascii="Arial" w:hAnsi="Arial" w:cs="Arial"/>
          <w:b/>
          <w:bCs/>
          <w:sz w:val="20"/>
          <w:szCs w:val="20"/>
        </w:rPr>
      </w:pPr>
    </w:p>
    <w:p w:rsidRPr="00096B16" w:rsidR="00C8194B" w:rsidP="4C30C4F4" w:rsidRDefault="00096B16" w14:paraId="2535C03A" w14:textId="7D0CC3DE">
      <w:pPr>
        <w:pStyle w:val="ListParagraph"/>
        <w:ind w:left="0"/>
        <w:rPr>
          <w:rFonts w:ascii="Arial" w:hAnsi="Arial" w:cs="Arial"/>
          <w:b/>
          <w:bCs/>
          <w:sz w:val="20"/>
          <w:szCs w:val="20"/>
        </w:rPr>
      </w:pPr>
      <w:r>
        <w:rPr>
          <w:rFonts w:ascii="Arial" w:hAnsi="Arial" w:cs="Arial"/>
          <w:sz w:val="20"/>
          <w:szCs w:val="20"/>
        </w:rPr>
        <w:t>T</w:t>
      </w:r>
      <w:r w:rsidRPr="4C30C4F4" w:rsidR="27300080">
        <w:rPr>
          <w:rFonts w:ascii="Arial" w:hAnsi="Arial" w:cs="Arial"/>
          <w:sz w:val="20"/>
          <w:szCs w:val="20"/>
        </w:rPr>
        <w:t xml:space="preserve">hese are transactions that will </w:t>
      </w:r>
      <w:r w:rsidRPr="4C30C4F4" w:rsidR="3C1851E8">
        <w:rPr>
          <w:rFonts w:ascii="Arial" w:hAnsi="Arial" w:cs="Arial"/>
          <w:sz w:val="20"/>
          <w:szCs w:val="20"/>
        </w:rPr>
        <w:t>only require one quotatio</w:t>
      </w:r>
      <w:r w:rsidRPr="4C30C4F4" w:rsidR="76CAFF4B">
        <w:rPr>
          <w:rFonts w:ascii="Arial" w:hAnsi="Arial" w:cs="Arial"/>
          <w:sz w:val="20"/>
          <w:szCs w:val="20"/>
        </w:rPr>
        <w:t>n under the Standing Orders. Standing Order 86.5(1) states ‘Where the actual or estimated value of any Contract or Purchase Order for Goods and/or Materials to be supplied or Works to be carried out or Services to be provided is likely to be between £1.00 and £4,999.99 then, before entering into the Contract or issuing the Purchase Order, the relevant Chief Officer shall obtain at least one (1) written Quotation which shall be supported by sufficient evidence to show Best Value and shall be capable of being interrogated for disaggregation</w:t>
      </w:r>
    </w:p>
    <w:p w:rsidR="00C8194B" w:rsidP="714252C5" w:rsidRDefault="00C8194B" w14:paraId="2B650EF9" w14:textId="039371DF">
      <w:pPr>
        <w:pStyle w:val="ListParagraph"/>
        <w:ind w:left="0"/>
        <w:rPr>
          <w:rFonts w:ascii="Arial" w:hAnsi="Arial" w:cs="Arial"/>
          <w:sz w:val="20"/>
          <w:szCs w:val="20"/>
        </w:rPr>
      </w:pPr>
    </w:p>
    <w:p w:rsidR="00C8194B" w:rsidP="714252C5" w:rsidRDefault="3CA6FCEA" w14:paraId="710377D0" w14:textId="2EED1093">
      <w:pPr>
        <w:pStyle w:val="ListParagraph"/>
        <w:ind w:left="0"/>
        <w:rPr>
          <w:rFonts w:ascii="Arial" w:hAnsi="Arial" w:cs="Arial"/>
          <w:sz w:val="20"/>
          <w:szCs w:val="20"/>
        </w:rPr>
      </w:pPr>
      <w:r w:rsidRPr="5F77973C">
        <w:rPr>
          <w:rFonts w:ascii="Arial" w:hAnsi="Arial" w:cs="Arial"/>
          <w:sz w:val="20"/>
          <w:szCs w:val="20"/>
        </w:rPr>
        <w:t>Sub £5,000</w:t>
      </w:r>
      <w:r w:rsidRPr="4C30C4F4" w:rsidR="071308D7">
        <w:rPr>
          <w:rFonts w:ascii="Arial" w:hAnsi="Arial" w:cs="Arial"/>
          <w:b/>
          <w:bCs/>
          <w:sz w:val="20"/>
          <w:szCs w:val="20"/>
        </w:rPr>
        <w:t xml:space="preserve"> </w:t>
      </w:r>
      <w:r w:rsidRPr="4C30C4F4" w:rsidR="071308D7">
        <w:rPr>
          <w:rFonts w:ascii="Arial" w:hAnsi="Arial" w:cs="Arial"/>
          <w:sz w:val="20"/>
          <w:szCs w:val="20"/>
        </w:rPr>
        <w:t>within the General Fund</w:t>
      </w:r>
      <w:r w:rsidR="00A1357B">
        <w:rPr>
          <w:rFonts w:ascii="Arial" w:hAnsi="Arial" w:cs="Arial"/>
          <w:sz w:val="20"/>
          <w:szCs w:val="20"/>
        </w:rPr>
        <w:t>:</w:t>
      </w:r>
      <w:r w:rsidRPr="4C30C4F4">
        <w:rPr>
          <w:rFonts w:ascii="Arial" w:hAnsi="Arial" w:cs="Arial"/>
          <w:sz w:val="20"/>
          <w:szCs w:val="20"/>
        </w:rPr>
        <w:t xml:space="preserve"> there were </w:t>
      </w:r>
      <w:r w:rsidRPr="4C30C4F4" w:rsidR="5B01699F">
        <w:rPr>
          <w:rFonts w:ascii="Arial" w:hAnsi="Arial" w:cs="Arial"/>
          <w:sz w:val="20"/>
          <w:szCs w:val="20"/>
        </w:rPr>
        <w:t xml:space="preserve">2080 suppliers used </w:t>
      </w:r>
      <w:r w:rsidRPr="4C30C4F4" w:rsidR="1C424972">
        <w:rPr>
          <w:rFonts w:ascii="Arial" w:hAnsi="Arial" w:cs="Arial"/>
          <w:sz w:val="20"/>
          <w:szCs w:val="20"/>
        </w:rPr>
        <w:t>with a total value of £</w:t>
      </w:r>
      <w:r w:rsidRPr="4C30C4F4" w:rsidR="5B01699F">
        <w:rPr>
          <w:rFonts w:ascii="Arial" w:hAnsi="Arial" w:cs="Arial"/>
          <w:sz w:val="20"/>
          <w:szCs w:val="20"/>
        </w:rPr>
        <w:t>1,527,621</w:t>
      </w:r>
      <w:r w:rsidRPr="4C30C4F4" w:rsidR="7C060734">
        <w:rPr>
          <w:rFonts w:ascii="Arial" w:hAnsi="Arial" w:cs="Arial"/>
          <w:sz w:val="20"/>
          <w:szCs w:val="20"/>
        </w:rPr>
        <w:t>.</w:t>
      </w:r>
    </w:p>
    <w:p w:rsidR="00C8194B" w:rsidP="4C30C4F4" w:rsidRDefault="00A2AC55" w14:paraId="6C8DB224" w14:textId="6DDCBB32">
      <w:pPr>
        <w:pStyle w:val="ListParagraph"/>
        <w:ind w:left="0"/>
        <w:rPr>
          <w:rFonts w:ascii="Arial" w:hAnsi="Arial" w:cs="Arial"/>
          <w:sz w:val="20"/>
          <w:szCs w:val="20"/>
        </w:rPr>
      </w:pPr>
      <w:r w:rsidRPr="4C30C4F4">
        <w:rPr>
          <w:rFonts w:ascii="Arial" w:hAnsi="Arial" w:cs="Arial"/>
          <w:sz w:val="20"/>
          <w:szCs w:val="20"/>
        </w:rPr>
        <w:t>The scale of the opportunity within tail spend is relatively small</w:t>
      </w:r>
      <w:r w:rsidRPr="4C30C4F4" w:rsidR="0EF86138">
        <w:rPr>
          <w:rFonts w:ascii="Arial" w:hAnsi="Arial" w:cs="Arial"/>
          <w:sz w:val="20"/>
          <w:szCs w:val="20"/>
        </w:rPr>
        <w:t xml:space="preserve"> and therefore should not be prioritised for deeper scrutiny until higher valued contracts have been reviewed.</w:t>
      </w:r>
    </w:p>
    <w:p w:rsidR="00C8194B" w:rsidP="714252C5" w:rsidRDefault="00C8194B" w14:paraId="4CCE590F" w14:textId="3BAF458D">
      <w:pPr>
        <w:pStyle w:val="ListParagraph"/>
        <w:ind w:left="0"/>
        <w:rPr>
          <w:rFonts w:ascii="Arial" w:hAnsi="Arial" w:cs="Arial"/>
          <w:b/>
          <w:bCs/>
          <w:sz w:val="20"/>
          <w:szCs w:val="20"/>
        </w:rPr>
      </w:pPr>
    </w:p>
    <w:p w:rsidR="00C8194B" w:rsidP="714252C5" w:rsidRDefault="00C8194B" w14:paraId="0116291C" w14:textId="6F19A804">
      <w:pPr>
        <w:pStyle w:val="ListParagraph"/>
        <w:ind w:left="0"/>
        <w:rPr>
          <w:rFonts w:ascii="Arial" w:hAnsi="Arial" w:cs="Arial"/>
          <w:b/>
          <w:bCs/>
          <w:sz w:val="20"/>
          <w:szCs w:val="20"/>
        </w:rPr>
      </w:pPr>
    </w:p>
    <w:p w:rsidR="00C8194B" w:rsidP="714252C5" w:rsidRDefault="72D8DAEF" w14:paraId="4349E54E" w14:textId="6AC3C1BC">
      <w:pPr>
        <w:pStyle w:val="ListParagraph"/>
        <w:ind w:left="0"/>
        <w:rPr>
          <w:rFonts w:ascii="Arial" w:hAnsi="Arial" w:cs="Arial"/>
          <w:b/>
          <w:bCs/>
          <w:sz w:val="20"/>
          <w:szCs w:val="20"/>
        </w:rPr>
      </w:pPr>
      <w:r w:rsidRPr="714252C5">
        <w:rPr>
          <w:rFonts w:ascii="Arial" w:hAnsi="Arial" w:cs="Arial"/>
          <w:b/>
          <w:bCs/>
          <w:sz w:val="20"/>
          <w:szCs w:val="20"/>
        </w:rPr>
        <w:t>P-Card Spend</w:t>
      </w:r>
    </w:p>
    <w:p w:rsidR="00C8194B" w:rsidP="714252C5" w:rsidRDefault="00C8194B" w14:paraId="64413D17" w14:textId="4F6FEA1C">
      <w:pPr>
        <w:pStyle w:val="ListParagraph"/>
        <w:ind w:left="0"/>
        <w:rPr>
          <w:rFonts w:ascii="Arial" w:hAnsi="Arial" w:cs="Arial"/>
          <w:sz w:val="20"/>
          <w:szCs w:val="20"/>
        </w:rPr>
      </w:pPr>
    </w:p>
    <w:p w:rsidR="00C8194B" w:rsidP="714252C5" w:rsidRDefault="644B4C5A" w14:paraId="28BB0BFF" w14:textId="5C2F1B98">
      <w:pPr>
        <w:pStyle w:val="ListParagraph"/>
        <w:ind w:left="0"/>
        <w:rPr>
          <w:rFonts w:ascii="Arial" w:hAnsi="Arial" w:cs="Arial"/>
          <w:sz w:val="20"/>
          <w:szCs w:val="20"/>
        </w:rPr>
      </w:pPr>
      <w:r w:rsidRPr="714252C5">
        <w:rPr>
          <w:rFonts w:ascii="Arial" w:hAnsi="Arial" w:cs="Arial"/>
          <w:sz w:val="20"/>
          <w:szCs w:val="20"/>
        </w:rPr>
        <w:t xml:space="preserve">Using P-card spend analysis provided by Procurement we can extrapolate </w:t>
      </w:r>
      <w:r w:rsidRPr="714252C5" w:rsidR="14E9FC37">
        <w:rPr>
          <w:rFonts w:ascii="Arial" w:hAnsi="Arial" w:cs="Arial"/>
          <w:sz w:val="20"/>
          <w:szCs w:val="20"/>
        </w:rPr>
        <w:t xml:space="preserve">quarterly spend </w:t>
      </w:r>
      <w:r w:rsidRPr="714252C5">
        <w:rPr>
          <w:rFonts w:ascii="Arial" w:hAnsi="Arial" w:cs="Arial"/>
          <w:sz w:val="20"/>
          <w:szCs w:val="20"/>
        </w:rPr>
        <w:t>to conclude that in 2022/23</w:t>
      </w:r>
      <w:r w:rsidR="00A1357B">
        <w:rPr>
          <w:rFonts w:ascii="Arial" w:hAnsi="Arial" w:cs="Arial"/>
          <w:sz w:val="20"/>
          <w:szCs w:val="20"/>
        </w:rPr>
        <w:t>,</w:t>
      </w:r>
      <w:r w:rsidRPr="714252C5">
        <w:rPr>
          <w:rFonts w:ascii="Arial" w:hAnsi="Arial" w:cs="Arial"/>
          <w:sz w:val="20"/>
          <w:szCs w:val="20"/>
        </w:rPr>
        <w:t xml:space="preserve"> the total </w:t>
      </w:r>
      <w:proofErr w:type="gramStart"/>
      <w:r w:rsidRPr="714252C5">
        <w:rPr>
          <w:rFonts w:ascii="Arial" w:hAnsi="Arial" w:cs="Arial"/>
          <w:sz w:val="20"/>
          <w:szCs w:val="20"/>
        </w:rPr>
        <w:t>spend</w:t>
      </w:r>
      <w:proofErr w:type="gramEnd"/>
      <w:r w:rsidRPr="714252C5">
        <w:rPr>
          <w:rFonts w:ascii="Arial" w:hAnsi="Arial" w:cs="Arial"/>
          <w:sz w:val="20"/>
          <w:szCs w:val="20"/>
        </w:rPr>
        <w:t xml:space="preserve"> using p-card was circa £472k.</w:t>
      </w:r>
    </w:p>
    <w:p w:rsidR="00C8194B" w:rsidP="714252C5" w:rsidRDefault="00C8194B" w14:paraId="38E26F0B" w14:textId="18531A2D">
      <w:pPr>
        <w:pStyle w:val="ListParagraph"/>
        <w:ind w:left="0"/>
        <w:rPr>
          <w:rFonts w:ascii="Arial" w:hAnsi="Arial" w:cs="Arial"/>
          <w:sz w:val="20"/>
          <w:szCs w:val="20"/>
        </w:rPr>
      </w:pPr>
    </w:p>
    <w:p w:rsidR="00EE3827" w:rsidP="714252C5" w:rsidRDefault="4CBA8AF4" w14:paraId="181C381D" w14:textId="164B9AF6">
      <w:pPr>
        <w:pStyle w:val="ListParagraph"/>
        <w:ind w:left="0"/>
        <w:rPr>
          <w:rFonts w:ascii="Arial" w:hAnsi="Arial" w:cs="Arial"/>
          <w:sz w:val="20"/>
          <w:szCs w:val="20"/>
        </w:rPr>
      </w:pPr>
      <w:r w:rsidRPr="714252C5">
        <w:rPr>
          <w:rFonts w:ascii="Arial" w:hAnsi="Arial" w:cs="Arial"/>
          <w:sz w:val="20"/>
          <w:szCs w:val="20"/>
        </w:rPr>
        <w:t xml:space="preserve">There is a fairly equal distribution of spend </w:t>
      </w:r>
      <w:r w:rsidRPr="714252C5" w:rsidR="587F5378">
        <w:rPr>
          <w:rFonts w:ascii="Arial" w:hAnsi="Arial" w:cs="Arial"/>
          <w:sz w:val="20"/>
          <w:szCs w:val="20"/>
        </w:rPr>
        <w:t>across</w:t>
      </w:r>
      <w:r w:rsidRPr="714252C5">
        <w:rPr>
          <w:rFonts w:ascii="Arial" w:hAnsi="Arial" w:cs="Arial"/>
          <w:sz w:val="20"/>
          <w:szCs w:val="20"/>
        </w:rPr>
        <w:t xml:space="preserve"> the larger departments</w:t>
      </w:r>
      <w:r w:rsidRPr="714252C5" w:rsidR="45961351">
        <w:rPr>
          <w:rFonts w:ascii="Arial" w:hAnsi="Arial" w:cs="Arial"/>
          <w:sz w:val="20"/>
          <w:szCs w:val="20"/>
        </w:rPr>
        <w:t xml:space="preserve">, however using the quarterly analysis </w:t>
      </w:r>
      <w:r w:rsidR="00EE3827">
        <w:rPr>
          <w:rFonts w:ascii="Arial" w:hAnsi="Arial" w:cs="Arial"/>
          <w:sz w:val="20"/>
          <w:szCs w:val="20"/>
        </w:rPr>
        <w:t>below</w:t>
      </w:r>
      <w:r w:rsidRPr="714252C5" w:rsidR="45961351">
        <w:rPr>
          <w:rFonts w:ascii="Arial" w:hAnsi="Arial" w:cs="Arial"/>
          <w:sz w:val="20"/>
          <w:szCs w:val="20"/>
        </w:rPr>
        <w:t xml:space="preserve">, we know that there are still transactions &gt;£1,000 using p-cards where other procurement solutions could </w:t>
      </w:r>
      <w:r w:rsidRPr="714252C5" w:rsidR="2E3F0108">
        <w:rPr>
          <w:rFonts w:ascii="Arial" w:hAnsi="Arial" w:cs="Arial"/>
          <w:sz w:val="20"/>
          <w:szCs w:val="20"/>
        </w:rPr>
        <w:t xml:space="preserve">be utilised to ensure best value is achieved, </w:t>
      </w:r>
      <w:proofErr w:type="gramStart"/>
      <w:r w:rsidRPr="714252C5" w:rsidR="2E3F0108">
        <w:rPr>
          <w:rFonts w:ascii="Arial" w:hAnsi="Arial" w:cs="Arial"/>
          <w:sz w:val="20"/>
          <w:szCs w:val="20"/>
        </w:rPr>
        <w:t>i.e.</w:t>
      </w:r>
      <w:proofErr w:type="gramEnd"/>
      <w:r w:rsidRPr="714252C5" w:rsidR="2E3F0108">
        <w:rPr>
          <w:rFonts w:ascii="Arial" w:hAnsi="Arial" w:cs="Arial"/>
          <w:sz w:val="20"/>
          <w:szCs w:val="20"/>
        </w:rPr>
        <w:t xml:space="preserve"> framework call-offs</w:t>
      </w:r>
      <w:r w:rsidRPr="714252C5" w:rsidR="7600B23A">
        <w:rPr>
          <w:rFonts w:ascii="Arial" w:hAnsi="Arial" w:cs="Arial"/>
          <w:sz w:val="20"/>
          <w:szCs w:val="20"/>
        </w:rPr>
        <w:t xml:space="preserve">. </w:t>
      </w:r>
    </w:p>
    <w:p w:rsidR="00EE3827" w:rsidP="714252C5" w:rsidRDefault="00EE3827" w14:paraId="0D87047D" w14:textId="77777777">
      <w:pPr>
        <w:pStyle w:val="ListParagraph"/>
        <w:ind w:left="0"/>
        <w:rPr>
          <w:rFonts w:ascii="Arial" w:hAnsi="Arial" w:cs="Arial"/>
          <w:sz w:val="20"/>
          <w:szCs w:val="20"/>
        </w:rPr>
      </w:pPr>
    </w:p>
    <w:tbl>
      <w:tblPr>
        <w:tblW w:w="0" w:type="auto"/>
        <w:tblLayout w:type="fixed"/>
        <w:tblLook w:val="06A0" w:firstRow="1" w:lastRow="0" w:firstColumn="1" w:lastColumn="0" w:noHBand="1" w:noVBand="1"/>
      </w:tblPr>
      <w:tblGrid>
        <w:gridCol w:w="2685"/>
        <w:gridCol w:w="1515"/>
        <w:gridCol w:w="1185"/>
        <w:gridCol w:w="1065"/>
        <w:gridCol w:w="1320"/>
      </w:tblGrid>
      <w:tr w:rsidR="00EE3827" w:rsidTr="00CB5E87" w14:paraId="19C4E473" w14:textId="77777777">
        <w:trPr>
          <w:trHeight w:val="285"/>
        </w:trPr>
        <w:tc>
          <w:tcPr>
            <w:tcW w:w="2685" w:type="dxa"/>
            <w:tcBorders>
              <w:top w:val="single" w:color="auto" w:sz="4" w:space="0"/>
              <w:left w:val="single" w:color="auto" w:sz="4" w:space="0"/>
              <w:bottom w:val="nil"/>
              <w:right w:val="nil"/>
            </w:tcBorders>
            <w:shd w:val="clear" w:color="auto" w:fill="5B9BD5" w:themeFill="accent5"/>
            <w:tcMar>
              <w:top w:w="15" w:type="dxa"/>
              <w:left w:w="15" w:type="dxa"/>
              <w:right w:w="15" w:type="dxa"/>
            </w:tcMar>
            <w:vAlign w:val="bottom"/>
          </w:tcPr>
          <w:p w:rsidR="00EE3827" w:rsidP="00CB5E87" w:rsidRDefault="00EE3827" w14:paraId="6C895951" w14:textId="77777777">
            <w:r w:rsidRPr="714252C5">
              <w:rPr>
                <w:rFonts w:ascii="Calibri" w:hAnsi="Calibri" w:eastAsia="Calibri" w:cs="Calibri"/>
                <w:b/>
                <w:bCs/>
                <w:color w:val="FFFFFF" w:themeColor="background1"/>
              </w:rPr>
              <w:t>Dept</w:t>
            </w:r>
          </w:p>
        </w:tc>
        <w:tc>
          <w:tcPr>
            <w:tcW w:w="1515" w:type="dxa"/>
            <w:tcBorders>
              <w:top w:val="single" w:color="auto" w:sz="4" w:space="0"/>
              <w:left w:val="nil"/>
              <w:bottom w:val="nil"/>
              <w:right w:val="nil"/>
            </w:tcBorders>
            <w:shd w:val="clear" w:color="auto" w:fill="5B9BD5" w:themeFill="accent5"/>
            <w:tcMar>
              <w:top w:w="15" w:type="dxa"/>
              <w:left w:w="15" w:type="dxa"/>
              <w:right w:w="15" w:type="dxa"/>
            </w:tcMar>
            <w:vAlign w:val="bottom"/>
          </w:tcPr>
          <w:p w:rsidR="00EE3827" w:rsidP="00CB5E87" w:rsidRDefault="00EE3827" w14:paraId="6C345EDA" w14:textId="77777777">
            <w:r w:rsidRPr="714252C5">
              <w:rPr>
                <w:rFonts w:ascii="Calibri" w:hAnsi="Calibri" w:eastAsia="Calibri" w:cs="Calibri"/>
                <w:b/>
                <w:bCs/>
                <w:color w:val="FFFFFF" w:themeColor="background1"/>
              </w:rPr>
              <w:t>Value</w:t>
            </w:r>
          </w:p>
        </w:tc>
        <w:tc>
          <w:tcPr>
            <w:tcW w:w="1185" w:type="dxa"/>
            <w:tcBorders>
              <w:top w:val="single" w:color="auto" w:sz="4" w:space="0"/>
              <w:left w:val="nil"/>
              <w:bottom w:val="nil"/>
              <w:right w:val="nil"/>
            </w:tcBorders>
            <w:shd w:val="clear" w:color="auto" w:fill="5B9BD5" w:themeFill="accent5"/>
            <w:tcMar>
              <w:top w:w="15" w:type="dxa"/>
              <w:left w:w="15" w:type="dxa"/>
              <w:right w:w="15" w:type="dxa"/>
            </w:tcMar>
            <w:vAlign w:val="bottom"/>
          </w:tcPr>
          <w:p w:rsidR="00EE3827" w:rsidP="00CB5E87" w:rsidRDefault="00EE3827" w14:paraId="3027B6B9" w14:textId="77777777">
            <w:pPr>
              <w:jc w:val="center"/>
            </w:pPr>
            <w:r w:rsidRPr="714252C5">
              <w:rPr>
                <w:rFonts w:ascii="Calibri" w:hAnsi="Calibri" w:eastAsia="Calibri" w:cs="Calibri"/>
                <w:b/>
                <w:bCs/>
                <w:color w:val="FFFFFF" w:themeColor="background1"/>
              </w:rPr>
              <w:t>% £</w:t>
            </w:r>
          </w:p>
        </w:tc>
        <w:tc>
          <w:tcPr>
            <w:tcW w:w="1065" w:type="dxa"/>
            <w:tcBorders>
              <w:top w:val="single" w:color="auto" w:sz="4" w:space="0"/>
              <w:left w:val="nil"/>
              <w:bottom w:val="nil"/>
              <w:right w:val="nil"/>
            </w:tcBorders>
            <w:shd w:val="clear" w:color="auto" w:fill="5B9BD5" w:themeFill="accent5"/>
            <w:tcMar>
              <w:top w:w="15" w:type="dxa"/>
              <w:left w:w="15" w:type="dxa"/>
              <w:right w:w="15" w:type="dxa"/>
            </w:tcMar>
            <w:vAlign w:val="bottom"/>
          </w:tcPr>
          <w:p w:rsidR="00EE3827" w:rsidP="00CB5E87" w:rsidRDefault="00EE3827" w14:paraId="7E99B5D7" w14:textId="77777777">
            <w:r w:rsidRPr="714252C5">
              <w:rPr>
                <w:rFonts w:ascii="Calibri" w:hAnsi="Calibri" w:eastAsia="Calibri" w:cs="Calibri"/>
                <w:b/>
                <w:bCs/>
                <w:color w:val="FFFFFF" w:themeColor="background1"/>
              </w:rPr>
              <w:t>Volume</w:t>
            </w:r>
          </w:p>
        </w:tc>
        <w:tc>
          <w:tcPr>
            <w:tcW w:w="1320" w:type="dxa"/>
            <w:tcBorders>
              <w:top w:val="single" w:color="auto" w:sz="4" w:space="0"/>
              <w:left w:val="nil"/>
              <w:bottom w:val="nil"/>
              <w:right w:val="single" w:color="auto" w:sz="4" w:space="0"/>
            </w:tcBorders>
            <w:shd w:val="clear" w:color="auto" w:fill="5B9BD5" w:themeFill="accent5"/>
            <w:tcMar>
              <w:top w:w="15" w:type="dxa"/>
              <w:left w:w="15" w:type="dxa"/>
              <w:right w:w="15" w:type="dxa"/>
            </w:tcMar>
            <w:vAlign w:val="bottom"/>
          </w:tcPr>
          <w:p w:rsidR="00EE3827" w:rsidP="00CB5E87" w:rsidRDefault="00EE3827" w14:paraId="69E1E2C1" w14:textId="77777777">
            <w:r w:rsidRPr="714252C5">
              <w:rPr>
                <w:rFonts w:ascii="Calibri" w:hAnsi="Calibri" w:eastAsia="Calibri" w:cs="Calibri"/>
                <w:b/>
                <w:bCs/>
                <w:color w:val="FFFFFF" w:themeColor="background1"/>
              </w:rPr>
              <w:t>% Volume</w:t>
            </w:r>
          </w:p>
        </w:tc>
      </w:tr>
      <w:tr w:rsidR="00EE3827" w:rsidTr="00CB5E87" w14:paraId="48A71036" w14:textId="77777777">
        <w:trPr>
          <w:trHeight w:val="285"/>
        </w:trPr>
        <w:tc>
          <w:tcPr>
            <w:tcW w:w="2685" w:type="dxa"/>
            <w:tcBorders>
              <w:top w:val="nil"/>
              <w:left w:val="single" w:color="auto" w:sz="4" w:space="0"/>
              <w:bottom w:val="nil"/>
              <w:right w:val="nil"/>
            </w:tcBorders>
            <w:shd w:val="clear" w:color="auto" w:fill="DDEBF7"/>
            <w:tcMar>
              <w:top w:w="15" w:type="dxa"/>
              <w:left w:w="15" w:type="dxa"/>
              <w:right w:w="15" w:type="dxa"/>
            </w:tcMar>
            <w:vAlign w:val="bottom"/>
          </w:tcPr>
          <w:p w:rsidR="00EE3827" w:rsidP="00CB5E87" w:rsidRDefault="00EE3827" w14:paraId="317CDD8E" w14:textId="77777777">
            <w:r w:rsidRPr="714252C5">
              <w:rPr>
                <w:rFonts w:ascii="Calibri" w:hAnsi="Calibri" w:eastAsia="Calibri" w:cs="Calibri"/>
                <w:color w:val="000000" w:themeColor="text1"/>
              </w:rPr>
              <w:t>Chief Executive</w:t>
            </w:r>
          </w:p>
        </w:tc>
        <w:tc>
          <w:tcPr>
            <w:tcW w:w="1515" w:type="dxa"/>
            <w:tcBorders>
              <w:top w:val="nil"/>
              <w:left w:val="nil"/>
              <w:bottom w:val="nil"/>
              <w:right w:val="nil"/>
            </w:tcBorders>
            <w:shd w:val="clear" w:color="auto" w:fill="DDEBF7"/>
            <w:tcMar>
              <w:top w:w="15" w:type="dxa"/>
              <w:left w:w="15" w:type="dxa"/>
              <w:right w:w="15" w:type="dxa"/>
            </w:tcMar>
            <w:vAlign w:val="bottom"/>
          </w:tcPr>
          <w:p w:rsidR="00EE3827" w:rsidP="00CB5E87" w:rsidRDefault="00EE3827" w14:paraId="1E4C58E5" w14:textId="77777777">
            <w:r w:rsidRPr="714252C5">
              <w:rPr>
                <w:rFonts w:ascii="Calibri" w:hAnsi="Calibri" w:eastAsia="Calibri" w:cs="Calibri"/>
                <w:color w:val="000000" w:themeColor="text1"/>
              </w:rPr>
              <w:t>£7,067.15</w:t>
            </w:r>
          </w:p>
        </w:tc>
        <w:tc>
          <w:tcPr>
            <w:tcW w:w="1185" w:type="dxa"/>
            <w:tcBorders>
              <w:top w:val="nil"/>
              <w:left w:val="nil"/>
              <w:bottom w:val="nil"/>
              <w:right w:val="nil"/>
            </w:tcBorders>
            <w:shd w:val="clear" w:color="auto" w:fill="DDEBF7"/>
            <w:tcMar>
              <w:top w:w="15" w:type="dxa"/>
              <w:left w:w="15" w:type="dxa"/>
              <w:right w:w="15" w:type="dxa"/>
            </w:tcMar>
            <w:vAlign w:val="bottom"/>
          </w:tcPr>
          <w:p w:rsidR="00EE3827" w:rsidP="00CB5E87" w:rsidRDefault="00EE3827" w14:paraId="71FB0787" w14:textId="77777777">
            <w:r w:rsidRPr="714252C5">
              <w:rPr>
                <w:rFonts w:ascii="Calibri" w:hAnsi="Calibri" w:eastAsia="Calibri" w:cs="Calibri"/>
                <w:color w:val="000000" w:themeColor="text1"/>
              </w:rPr>
              <w:t>6.0%</w:t>
            </w:r>
          </w:p>
        </w:tc>
        <w:tc>
          <w:tcPr>
            <w:tcW w:w="1065" w:type="dxa"/>
            <w:tcBorders>
              <w:top w:val="nil"/>
              <w:left w:val="nil"/>
              <w:bottom w:val="nil"/>
              <w:right w:val="nil"/>
            </w:tcBorders>
            <w:shd w:val="clear" w:color="auto" w:fill="DDEBF7"/>
            <w:tcMar>
              <w:top w:w="15" w:type="dxa"/>
              <w:left w:w="15" w:type="dxa"/>
              <w:right w:w="15" w:type="dxa"/>
            </w:tcMar>
            <w:vAlign w:val="bottom"/>
          </w:tcPr>
          <w:p w:rsidR="00EE3827" w:rsidP="00CB5E87" w:rsidRDefault="00EE3827" w14:paraId="465CCB0A" w14:textId="77777777">
            <w:r w:rsidRPr="714252C5">
              <w:rPr>
                <w:rFonts w:ascii="Calibri" w:hAnsi="Calibri" w:eastAsia="Calibri" w:cs="Calibri"/>
                <w:color w:val="000000" w:themeColor="text1"/>
              </w:rPr>
              <w:t>53</w:t>
            </w:r>
          </w:p>
        </w:tc>
        <w:tc>
          <w:tcPr>
            <w:tcW w:w="1320" w:type="dxa"/>
            <w:tcBorders>
              <w:top w:val="nil"/>
              <w:left w:val="nil"/>
              <w:bottom w:val="nil"/>
              <w:right w:val="single" w:color="auto" w:sz="4" w:space="0"/>
            </w:tcBorders>
            <w:shd w:val="clear" w:color="auto" w:fill="DDEBF7"/>
            <w:tcMar>
              <w:top w:w="15" w:type="dxa"/>
              <w:left w:w="15" w:type="dxa"/>
              <w:right w:w="15" w:type="dxa"/>
            </w:tcMar>
            <w:vAlign w:val="bottom"/>
          </w:tcPr>
          <w:p w:rsidR="00EE3827" w:rsidP="00CB5E87" w:rsidRDefault="00EE3827" w14:paraId="70E6285B" w14:textId="77777777">
            <w:r w:rsidRPr="714252C5">
              <w:rPr>
                <w:rFonts w:ascii="Calibri" w:hAnsi="Calibri" w:eastAsia="Calibri" w:cs="Calibri"/>
                <w:color w:val="000000" w:themeColor="text1"/>
              </w:rPr>
              <w:t>5.8%</w:t>
            </w:r>
          </w:p>
        </w:tc>
      </w:tr>
      <w:tr w:rsidR="00EE3827" w:rsidTr="00CB5E87" w14:paraId="75A53FD7" w14:textId="77777777">
        <w:trPr>
          <w:trHeight w:val="285"/>
        </w:trPr>
        <w:tc>
          <w:tcPr>
            <w:tcW w:w="2685" w:type="dxa"/>
            <w:tcBorders>
              <w:top w:val="nil"/>
              <w:left w:val="single" w:color="auto" w:sz="4" w:space="0"/>
              <w:bottom w:val="nil"/>
              <w:right w:val="nil"/>
            </w:tcBorders>
            <w:tcMar>
              <w:top w:w="15" w:type="dxa"/>
              <w:left w:w="15" w:type="dxa"/>
              <w:right w:w="15" w:type="dxa"/>
            </w:tcMar>
            <w:vAlign w:val="bottom"/>
          </w:tcPr>
          <w:p w:rsidR="00EE3827" w:rsidP="00CB5E87" w:rsidRDefault="00EE3827" w14:paraId="4C25C9D9" w14:textId="77777777">
            <w:r w:rsidRPr="714252C5">
              <w:rPr>
                <w:rFonts w:ascii="Calibri" w:hAnsi="Calibri" w:eastAsia="Calibri" w:cs="Calibri"/>
                <w:color w:val="000000" w:themeColor="text1"/>
              </w:rPr>
              <w:t>Children Families &amp; Educ. Serv.</w:t>
            </w:r>
          </w:p>
        </w:tc>
        <w:tc>
          <w:tcPr>
            <w:tcW w:w="1515" w:type="dxa"/>
            <w:tcBorders>
              <w:top w:val="nil"/>
              <w:left w:val="nil"/>
              <w:bottom w:val="nil"/>
              <w:right w:val="nil"/>
            </w:tcBorders>
            <w:tcMar>
              <w:top w:w="15" w:type="dxa"/>
              <w:left w:w="15" w:type="dxa"/>
              <w:right w:w="15" w:type="dxa"/>
            </w:tcMar>
            <w:vAlign w:val="bottom"/>
          </w:tcPr>
          <w:p w:rsidR="00EE3827" w:rsidP="00CB5E87" w:rsidRDefault="00EE3827" w14:paraId="60BD68B1" w14:textId="77777777">
            <w:r w:rsidRPr="714252C5">
              <w:rPr>
                <w:rFonts w:ascii="Calibri" w:hAnsi="Calibri" w:eastAsia="Calibri" w:cs="Calibri"/>
                <w:color w:val="000000" w:themeColor="text1"/>
              </w:rPr>
              <w:t>£33,811.07</w:t>
            </w:r>
          </w:p>
        </w:tc>
        <w:tc>
          <w:tcPr>
            <w:tcW w:w="1185" w:type="dxa"/>
            <w:tcBorders>
              <w:top w:val="nil"/>
              <w:left w:val="nil"/>
              <w:bottom w:val="nil"/>
              <w:right w:val="nil"/>
            </w:tcBorders>
            <w:tcMar>
              <w:top w:w="15" w:type="dxa"/>
              <w:left w:w="15" w:type="dxa"/>
              <w:right w:w="15" w:type="dxa"/>
            </w:tcMar>
            <w:vAlign w:val="bottom"/>
          </w:tcPr>
          <w:p w:rsidR="00EE3827" w:rsidP="00CB5E87" w:rsidRDefault="00EE3827" w14:paraId="5D66267D" w14:textId="77777777">
            <w:r w:rsidRPr="714252C5">
              <w:rPr>
                <w:rFonts w:ascii="Calibri" w:hAnsi="Calibri" w:eastAsia="Calibri" w:cs="Calibri"/>
                <w:color w:val="000000" w:themeColor="text1"/>
              </w:rPr>
              <w:t>28.6%</w:t>
            </w:r>
          </w:p>
        </w:tc>
        <w:tc>
          <w:tcPr>
            <w:tcW w:w="1065" w:type="dxa"/>
            <w:tcBorders>
              <w:top w:val="nil"/>
              <w:left w:val="nil"/>
              <w:bottom w:val="nil"/>
              <w:right w:val="nil"/>
            </w:tcBorders>
            <w:tcMar>
              <w:top w:w="15" w:type="dxa"/>
              <w:left w:w="15" w:type="dxa"/>
              <w:right w:w="15" w:type="dxa"/>
            </w:tcMar>
            <w:vAlign w:val="bottom"/>
          </w:tcPr>
          <w:p w:rsidR="00EE3827" w:rsidP="00CB5E87" w:rsidRDefault="00EE3827" w14:paraId="32DF8199" w14:textId="77777777">
            <w:r w:rsidRPr="714252C5">
              <w:rPr>
                <w:rFonts w:ascii="Calibri" w:hAnsi="Calibri" w:eastAsia="Calibri" w:cs="Calibri"/>
                <w:color w:val="000000" w:themeColor="text1"/>
              </w:rPr>
              <w:t>334</w:t>
            </w:r>
          </w:p>
        </w:tc>
        <w:tc>
          <w:tcPr>
            <w:tcW w:w="1320" w:type="dxa"/>
            <w:tcBorders>
              <w:top w:val="nil"/>
              <w:left w:val="nil"/>
              <w:bottom w:val="nil"/>
              <w:right w:val="single" w:color="auto" w:sz="4" w:space="0"/>
            </w:tcBorders>
            <w:tcMar>
              <w:top w:w="15" w:type="dxa"/>
              <w:left w:w="15" w:type="dxa"/>
              <w:right w:w="15" w:type="dxa"/>
            </w:tcMar>
            <w:vAlign w:val="bottom"/>
          </w:tcPr>
          <w:p w:rsidR="00EE3827" w:rsidP="00CB5E87" w:rsidRDefault="00EE3827" w14:paraId="437B8B8C" w14:textId="77777777">
            <w:r w:rsidRPr="714252C5">
              <w:rPr>
                <w:rFonts w:ascii="Calibri" w:hAnsi="Calibri" w:eastAsia="Calibri" w:cs="Calibri"/>
                <w:color w:val="000000" w:themeColor="text1"/>
              </w:rPr>
              <w:t>36.6%</w:t>
            </w:r>
          </w:p>
        </w:tc>
      </w:tr>
      <w:tr w:rsidR="00EE3827" w:rsidTr="00CB5E87" w14:paraId="3B1E932A" w14:textId="77777777">
        <w:trPr>
          <w:trHeight w:val="285"/>
        </w:trPr>
        <w:tc>
          <w:tcPr>
            <w:tcW w:w="2685" w:type="dxa"/>
            <w:tcBorders>
              <w:top w:val="nil"/>
              <w:left w:val="single" w:color="auto" w:sz="4" w:space="0"/>
              <w:bottom w:val="nil"/>
              <w:right w:val="nil"/>
            </w:tcBorders>
            <w:shd w:val="clear" w:color="auto" w:fill="DDEBF7"/>
            <w:tcMar>
              <w:top w:w="15" w:type="dxa"/>
              <w:left w:w="15" w:type="dxa"/>
              <w:right w:w="15" w:type="dxa"/>
            </w:tcMar>
            <w:vAlign w:val="bottom"/>
          </w:tcPr>
          <w:p w:rsidR="00EE3827" w:rsidP="00CB5E87" w:rsidRDefault="00EE3827" w14:paraId="5F8F0DF8" w14:textId="77777777">
            <w:r w:rsidRPr="714252C5">
              <w:rPr>
                <w:rFonts w:ascii="Calibri" w:hAnsi="Calibri" w:eastAsia="Calibri" w:cs="Calibri"/>
                <w:color w:val="000000" w:themeColor="text1"/>
              </w:rPr>
              <w:t>Inclusive Economy</w:t>
            </w:r>
          </w:p>
        </w:tc>
        <w:tc>
          <w:tcPr>
            <w:tcW w:w="1515" w:type="dxa"/>
            <w:tcBorders>
              <w:top w:val="nil"/>
              <w:left w:val="nil"/>
              <w:bottom w:val="nil"/>
              <w:right w:val="nil"/>
            </w:tcBorders>
            <w:shd w:val="clear" w:color="auto" w:fill="DDEBF7"/>
            <w:tcMar>
              <w:top w:w="15" w:type="dxa"/>
              <w:left w:w="15" w:type="dxa"/>
              <w:right w:w="15" w:type="dxa"/>
            </w:tcMar>
            <w:vAlign w:val="bottom"/>
          </w:tcPr>
          <w:p w:rsidR="00EE3827" w:rsidP="00CB5E87" w:rsidRDefault="00EE3827" w14:paraId="0E17CE78" w14:textId="77777777">
            <w:r w:rsidRPr="714252C5">
              <w:rPr>
                <w:rFonts w:ascii="Calibri" w:hAnsi="Calibri" w:eastAsia="Calibri" w:cs="Calibri"/>
                <w:color w:val="000000" w:themeColor="text1"/>
              </w:rPr>
              <w:t>£50,341.41</w:t>
            </w:r>
          </w:p>
        </w:tc>
        <w:tc>
          <w:tcPr>
            <w:tcW w:w="1185" w:type="dxa"/>
            <w:tcBorders>
              <w:top w:val="nil"/>
              <w:left w:val="nil"/>
              <w:bottom w:val="nil"/>
              <w:right w:val="nil"/>
            </w:tcBorders>
            <w:shd w:val="clear" w:color="auto" w:fill="DDEBF7"/>
            <w:tcMar>
              <w:top w:w="15" w:type="dxa"/>
              <w:left w:w="15" w:type="dxa"/>
              <w:right w:w="15" w:type="dxa"/>
            </w:tcMar>
            <w:vAlign w:val="bottom"/>
          </w:tcPr>
          <w:p w:rsidR="00EE3827" w:rsidP="00CB5E87" w:rsidRDefault="00EE3827" w14:paraId="4258903C" w14:textId="77777777">
            <w:r w:rsidRPr="714252C5">
              <w:rPr>
                <w:rFonts w:ascii="Calibri" w:hAnsi="Calibri" w:eastAsia="Calibri" w:cs="Calibri"/>
                <w:color w:val="000000" w:themeColor="text1"/>
              </w:rPr>
              <w:t>42.6%</w:t>
            </w:r>
          </w:p>
        </w:tc>
        <w:tc>
          <w:tcPr>
            <w:tcW w:w="1065" w:type="dxa"/>
            <w:tcBorders>
              <w:top w:val="nil"/>
              <w:left w:val="nil"/>
              <w:bottom w:val="nil"/>
              <w:right w:val="nil"/>
            </w:tcBorders>
            <w:shd w:val="clear" w:color="auto" w:fill="DDEBF7"/>
            <w:tcMar>
              <w:top w:w="15" w:type="dxa"/>
              <w:left w:w="15" w:type="dxa"/>
              <w:right w:w="15" w:type="dxa"/>
            </w:tcMar>
            <w:vAlign w:val="bottom"/>
          </w:tcPr>
          <w:p w:rsidR="00EE3827" w:rsidP="00CB5E87" w:rsidRDefault="00EE3827" w14:paraId="5AA221F1" w14:textId="77777777">
            <w:r w:rsidRPr="714252C5">
              <w:rPr>
                <w:rFonts w:ascii="Calibri" w:hAnsi="Calibri" w:eastAsia="Calibri" w:cs="Calibri"/>
                <w:color w:val="000000" w:themeColor="text1"/>
              </w:rPr>
              <w:t>234</w:t>
            </w:r>
          </w:p>
        </w:tc>
        <w:tc>
          <w:tcPr>
            <w:tcW w:w="1320" w:type="dxa"/>
            <w:tcBorders>
              <w:top w:val="nil"/>
              <w:left w:val="nil"/>
              <w:bottom w:val="nil"/>
              <w:right w:val="single" w:color="auto" w:sz="4" w:space="0"/>
            </w:tcBorders>
            <w:shd w:val="clear" w:color="auto" w:fill="DDEBF7"/>
            <w:tcMar>
              <w:top w:w="15" w:type="dxa"/>
              <w:left w:w="15" w:type="dxa"/>
              <w:right w:w="15" w:type="dxa"/>
            </w:tcMar>
            <w:vAlign w:val="bottom"/>
          </w:tcPr>
          <w:p w:rsidR="00EE3827" w:rsidP="00CB5E87" w:rsidRDefault="00EE3827" w14:paraId="18FCF3B8" w14:textId="77777777">
            <w:r w:rsidRPr="714252C5">
              <w:rPr>
                <w:rFonts w:ascii="Calibri" w:hAnsi="Calibri" w:eastAsia="Calibri" w:cs="Calibri"/>
                <w:color w:val="000000" w:themeColor="text1"/>
              </w:rPr>
              <w:t>25.6%</w:t>
            </w:r>
          </w:p>
        </w:tc>
      </w:tr>
      <w:tr w:rsidR="00EE3827" w:rsidTr="00CB5E87" w14:paraId="651AD515" w14:textId="77777777">
        <w:trPr>
          <w:trHeight w:val="285"/>
        </w:trPr>
        <w:tc>
          <w:tcPr>
            <w:tcW w:w="2685" w:type="dxa"/>
            <w:tcBorders>
              <w:top w:val="nil"/>
              <w:left w:val="single" w:color="auto" w:sz="4" w:space="0"/>
              <w:bottom w:val="nil"/>
              <w:right w:val="nil"/>
            </w:tcBorders>
            <w:tcMar>
              <w:top w:w="15" w:type="dxa"/>
              <w:left w:w="15" w:type="dxa"/>
              <w:right w:w="15" w:type="dxa"/>
            </w:tcMar>
            <w:vAlign w:val="bottom"/>
          </w:tcPr>
          <w:p w:rsidR="00EE3827" w:rsidP="00CB5E87" w:rsidRDefault="00EE3827" w14:paraId="1F008A60" w14:textId="77777777">
            <w:r w:rsidRPr="714252C5">
              <w:rPr>
                <w:rFonts w:ascii="Calibri" w:hAnsi="Calibri" w:eastAsia="Calibri" w:cs="Calibri"/>
                <w:color w:val="000000" w:themeColor="text1"/>
              </w:rPr>
              <w:t>Population Wellbeing</w:t>
            </w:r>
          </w:p>
        </w:tc>
        <w:tc>
          <w:tcPr>
            <w:tcW w:w="1515" w:type="dxa"/>
            <w:tcBorders>
              <w:top w:val="nil"/>
              <w:left w:val="nil"/>
              <w:bottom w:val="nil"/>
              <w:right w:val="nil"/>
            </w:tcBorders>
            <w:tcMar>
              <w:top w:w="15" w:type="dxa"/>
              <w:left w:w="15" w:type="dxa"/>
              <w:right w:w="15" w:type="dxa"/>
            </w:tcMar>
            <w:vAlign w:val="bottom"/>
          </w:tcPr>
          <w:p w:rsidR="00EE3827" w:rsidP="00CB5E87" w:rsidRDefault="00EE3827" w14:paraId="72C94FBA" w14:textId="77777777">
            <w:r w:rsidRPr="714252C5">
              <w:rPr>
                <w:rFonts w:ascii="Calibri" w:hAnsi="Calibri" w:eastAsia="Calibri" w:cs="Calibri"/>
                <w:color w:val="000000" w:themeColor="text1"/>
              </w:rPr>
              <w:t>£26,890.92</w:t>
            </w:r>
          </w:p>
        </w:tc>
        <w:tc>
          <w:tcPr>
            <w:tcW w:w="1185" w:type="dxa"/>
            <w:tcBorders>
              <w:top w:val="nil"/>
              <w:left w:val="nil"/>
              <w:bottom w:val="nil"/>
              <w:right w:val="nil"/>
            </w:tcBorders>
            <w:tcMar>
              <w:top w:w="15" w:type="dxa"/>
              <w:left w:w="15" w:type="dxa"/>
              <w:right w:w="15" w:type="dxa"/>
            </w:tcMar>
            <w:vAlign w:val="bottom"/>
          </w:tcPr>
          <w:p w:rsidR="00EE3827" w:rsidP="00CB5E87" w:rsidRDefault="00EE3827" w14:paraId="30047E05" w14:textId="77777777">
            <w:r w:rsidRPr="714252C5">
              <w:rPr>
                <w:rFonts w:ascii="Calibri" w:hAnsi="Calibri" w:eastAsia="Calibri" w:cs="Calibri"/>
                <w:color w:val="000000" w:themeColor="text1"/>
              </w:rPr>
              <w:t>22.8%</w:t>
            </w:r>
          </w:p>
        </w:tc>
        <w:tc>
          <w:tcPr>
            <w:tcW w:w="1065" w:type="dxa"/>
            <w:tcBorders>
              <w:top w:val="nil"/>
              <w:left w:val="nil"/>
              <w:bottom w:val="nil"/>
              <w:right w:val="nil"/>
            </w:tcBorders>
            <w:tcMar>
              <w:top w:w="15" w:type="dxa"/>
              <w:left w:w="15" w:type="dxa"/>
              <w:right w:w="15" w:type="dxa"/>
            </w:tcMar>
            <w:vAlign w:val="bottom"/>
          </w:tcPr>
          <w:p w:rsidR="00EE3827" w:rsidP="00CB5E87" w:rsidRDefault="00EE3827" w14:paraId="37634B93" w14:textId="77777777">
            <w:r w:rsidRPr="714252C5">
              <w:rPr>
                <w:rFonts w:ascii="Calibri" w:hAnsi="Calibri" w:eastAsia="Calibri" w:cs="Calibri"/>
                <w:color w:val="000000" w:themeColor="text1"/>
              </w:rPr>
              <w:t>292</w:t>
            </w:r>
          </w:p>
        </w:tc>
        <w:tc>
          <w:tcPr>
            <w:tcW w:w="1320" w:type="dxa"/>
            <w:tcBorders>
              <w:top w:val="nil"/>
              <w:left w:val="nil"/>
              <w:bottom w:val="nil"/>
              <w:right w:val="single" w:color="auto" w:sz="4" w:space="0"/>
            </w:tcBorders>
            <w:tcMar>
              <w:top w:w="15" w:type="dxa"/>
              <w:left w:w="15" w:type="dxa"/>
              <w:right w:w="15" w:type="dxa"/>
            </w:tcMar>
            <w:vAlign w:val="bottom"/>
          </w:tcPr>
          <w:p w:rsidR="00EE3827" w:rsidP="00CB5E87" w:rsidRDefault="00EE3827" w14:paraId="7757245C" w14:textId="77777777">
            <w:r w:rsidRPr="714252C5">
              <w:rPr>
                <w:rFonts w:ascii="Calibri" w:hAnsi="Calibri" w:eastAsia="Calibri" w:cs="Calibri"/>
                <w:color w:val="000000" w:themeColor="text1"/>
              </w:rPr>
              <w:t>32.0%</w:t>
            </w:r>
          </w:p>
        </w:tc>
      </w:tr>
      <w:tr w:rsidR="00EE3827" w:rsidTr="00CB5E87" w14:paraId="6B16A7EE" w14:textId="77777777">
        <w:trPr>
          <w:trHeight w:val="285"/>
        </w:trPr>
        <w:tc>
          <w:tcPr>
            <w:tcW w:w="2685" w:type="dxa"/>
            <w:tcBorders>
              <w:top w:val="nil"/>
              <w:left w:val="single" w:color="auto" w:sz="4" w:space="0"/>
              <w:bottom w:val="single" w:color="auto" w:sz="4" w:space="0"/>
              <w:right w:val="nil"/>
            </w:tcBorders>
            <w:shd w:val="clear" w:color="auto" w:fill="DDEBF7"/>
            <w:tcMar>
              <w:top w:w="15" w:type="dxa"/>
              <w:left w:w="15" w:type="dxa"/>
              <w:right w:w="15" w:type="dxa"/>
            </w:tcMar>
            <w:vAlign w:val="bottom"/>
          </w:tcPr>
          <w:p w:rsidR="00EE3827" w:rsidP="00CB5E87" w:rsidRDefault="00EE3827" w14:paraId="516D639D" w14:textId="77777777">
            <w:r w:rsidRPr="714252C5">
              <w:rPr>
                <w:rFonts w:ascii="Calibri" w:hAnsi="Calibri" w:eastAsia="Calibri" w:cs="Calibri"/>
                <w:b/>
                <w:bCs/>
                <w:color w:val="000000" w:themeColor="text1"/>
              </w:rPr>
              <w:t>Grand Total</w:t>
            </w:r>
          </w:p>
        </w:tc>
        <w:tc>
          <w:tcPr>
            <w:tcW w:w="1515" w:type="dxa"/>
            <w:tcBorders>
              <w:top w:val="nil"/>
              <w:left w:val="nil"/>
              <w:bottom w:val="single" w:color="auto" w:sz="4" w:space="0"/>
              <w:right w:val="nil"/>
            </w:tcBorders>
            <w:shd w:val="clear" w:color="auto" w:fill="DDEBF7"/>
            <w:tcMar>
              <w:top w:w="15" w:type="dxa"/>
              <w:left w:w="15" w:type="dxa"/>
              <w:right w:w="15" w:type="dxa"/>
            </w:tcMar>
            <w:vAlign w:val="bottom"/>
          </w:tcPr>
          <w:p w:rsidR="00EE3827" w:rsidP="00CB5E87" w:rsidRDefault="00EE3827" w14:paraId="6C9367D5" w14:textId="77777777">
            <w:r w:rsidRPr="714252C5">
              <w:rPr>
                <w:rFonts w:ascii="Calibri" w:hAnsi="Calibri" w:eastAsia="Calibri" w:cs="Calibri"/>
                <w:b/>
                <w:bCs/>
                <w:color w:val="000000" w:themeColor="text1"/>
              </w:rPr>
              <w:t>£118,110.55</w:t>
            </w:r>
          </w:p>
        </w:tc>
        <w:tc>
          <w:tcPr>
            <w:tcW w:w="1185" w:type="dxa"/>
            <w:tcBorders>
              <w:top w:val="nil"/>
              <w:left w:val="nil"/>
              <w:bottom w:val="single" w:color="auto" w:sz="4" w:space="0"/>
              <w:right w:val="nil"/>
            </w:tcBorders>
            <w:shd w:val="clear" w:color="auto" w:fill="DDEBF7"/>
            <w:tcMar>
              <w:top w:w="15" w:type="dxa"/>
              <w:left w:w="15" w:type="dxa"/>
              <w:right w:w="15" w:type="dxa"/>
            </w:tcMar>
            <w:vAlign w:val="bottom"/>
          </w:tcPr>
          <w:p w:rsidR="00EE3827" w:rsidP="00CB5E87" w:rsidRDefault="00EE3827" w14:paraId="6E03427F" w14:textId="77777777">
            <w:r w:rsidRPr="714252C5">
              <w:rPr>
                <w:rFonts w:ascii="Calibri" w:hAnsi="Calibri" w:eastAsia="Calibri" w:cs="Calibri"/>
                <w:b/>
                <w:bCs/>
                <w:color w:val="000000" w:themeColor="text1"/>
              </w:rPr>
              <w:t>100.0%</w:t>
            </w:r>
          </w:p>
        </w:tc>
        <w:tc>
          <w:tcPr>
            <w:tcW w:w="1065" w:type="dxa"/>
            <w:tcBorders>
              <w:top w:val="nil"/>
              <w:left w:val="nil"/>
              <w:bottom w:val="single" w:color="auto" w:sz="4" w:space="0"/>
              <w:right w:val="nil"/>
            </w:tcBorders>
            <w:shd w:val="clear" w:color="auto" w:fill="DDEBF7"/>
            <w:tcMar>
              <w:top w:w="15" w:type="dxa"/>
              <w:left w:w="15" w:type="dxa"/>
              <w:right w:w="15" w:type="dxa"/>
            </w:tcMar>
            <w:vAlign w:val="bottom"/>
          </w:tcPr>
          <w:p w:rsidR="00EE3827" w:rsidP="00CB5E87" w:rsidRDefault="00EE3827" w14:paraId="0E1B068A" w14:textId="77777777">
            <w:r w:rsidRPr="714252C5">
              <w:rPr>
                <w:rFonts w:ascii="Calibri" w:hAnsi="Calibri" w:eastAsia="Calibri" w:cs="Calibri"/>
                <w:b/>
                <w:bCs/>
                <w:color w:val="000000" w:themeColor="text1"/>
              </w:rPr>
              <w:t>913</w:t>
            </w:r>
          </w:p>
        </w:tc>
        <w:tc>
          <w:tcPr>
            <w:tcW w:w="1320" w:type="dxa"/>
            <w:tcBorders>
              <w:top w:val="nil"/>
              <w:left w:val="nil"/>
              <w:bottom w:val="single" w:color="auto" w:sz="4" w:space="0"/>
              <w:right w:val="single" w:color="auto" w:sz="4" w:space="0"/>
            </w:tcBorders>
            <w:shd w:val="clear" w:color="auto" w:fill="DDEBF7"/>
            <w:tcMar>
              <w:top w:w="15" w:type="dxa"/>
              <w:left w:w="15" w:type="dxa"/>
              <w:right w:w="15" w:type="dxa"/>
            </w:tcMar>
            <w:vAlign w:val="bottom"/>
          </w:tcPr>
          <w:p w:rsidR="00EE3827" w:rsidP="00CB5E87" w:rsidRDefault="00EE3827" w14:paraId="3DD68E1C" w14:textId="77777777">
            <w:r w:rsidRPr="714252C5">
              <w:rPr>
                <w:rFonts w:ascii="Calibri" w:hAnsi="Calibri" w:eastAsia="Calibri" w:cs="Calibri"/>
                <w:b/>
                <w:bCs/>
                <w:color w:val="000000" w:themeColor="text1"/>
              </w:rPr>
              <w:t>100.0%</w:t>
            </w:r>
          </w:p>
        </w:tc>
      </w:tr>
    </w:tbl>
    <w:p w:rsidR="00EE3827" w:rsidP="714252C5" w:rsidRDefault="00EE3827" w14:paraId="037B1948" w14:textId="77777777">
      <w:pPr>
        <w:pStyle w:val="ListParagraph"/>
        <w:ind w:left="0"/>
        <w:rPr>
          <w:rFonts w:ascii="Arial" w:hAnsi="Arial" w:cs="Arial"/>
          <w:sz w:val="20"/>
          <w:szCs w:val="20"/>
        </w:rPr>
      </w:pPr>
    </w:p>
    <w:p w:rsidR="00C8194B" w:rsidP="714252C5" w:rsidRDefault="7600B23A" w14:paraId="16908E49" w14:textId="0DA163B7">
      <w:pPr>
        <w:pStyle w:val="ListParagraph"/>
        <w:ind w:left="0"/>
        <w:rPr>
          <w:rFonts w:ascii="Arial" w:hAnsi="Arial" w:cs="Arial"/>
          <w:sz w:val="20"/>
          <w:szCs w:val="20"/>
        </w:rPr>
      </w:pPr>
      <w:r w:rsidRPr="714252C5">
        <w:rPr>
          <w:rFonts w:ascii="Arial" w:hAnsi="Arial" w:cs="Arial"/>
          <w:sz w:val="20"/>
          <w:szCs w:val="20"/>
        </w:rPr>
        <w:t>The codified terms of p-card use should be refreshed and communicated, especially to departments using p-cards for larger value transactions:</w:t>
      </w:r>
    </w:p>
    <w:p w:rsidR="00C8194B" w:rsidP="714252C5" w:rsidRDefault="00C8194B" w14:paraId="0FA276FE" w14:textId="34B8F956">
      <w:pPr>
        <w:pStyle w:val="ListParagraph"/>
        <w:ind w:left="0"/>
        <w:rPr>
          <w:rFonts w:ascii="Arial" w:hAnsi="Arial" w:cs="Arial"/>
          <w:sz w:val="20"/>
          <w:szCs w:val="20"/>
        </w:rPr>
      </w:pPr>
    </w:p>
    <w:tbl>
      <w:tblPr>
        <w:tblW w:w="0" w:type="auto"/>
        <w:tblLayout w:type="fixed"/>
        <w:tblLook w:val="06A0" w:firstRow="1" w:lastRow="0" w:firstColumn="1" w:lastColumn="0" w:noHBand="1" w:noVBand="1"/>
      </w:tblPr>
      <w:tblGrid>
        <w:gridCol w:w="1803"/>
        <w:gridCol w:w="1803"/>
        <w:gridCol w:w="1803"/>
        <w:gridCol w:w="1803"/>
        <w:gridCol w:w="1803"/>
      </w:tblGrid>
      <w:tr w:rsidR="714252C5" w:rsidTr="714252C5" w14:paraId="5569DD6F" w14:textId="77777777">
        <w:trPr>
          <w:trHeight w:val="285"/>
        </w:trPr>
        <w:tc>
          <w:tcPr>
            <w:tcW w:w="9015" w:type="dxa"/>
            <w:gridSpan w:val="5"/>
            <w:tcBorders>
              <w:top w:val="single" w:color="auto" w:sz="4" w:space="0"/>
              <w:left w:val="single" w:color="auto" w:sz="4" w:space="0"/>
              <w:bottom w:val="single" w:color="auto" w:sz="4" w:space="0"/>
              <w:right w:val="single" w:color="auto" w:sz="4" w:space="0"/>
            </w:tcBorders>
            <w:shd w:val="clear" w:color="auto" w:fill="FFC000" w:themeFill="accent4"/>
            <w:tcMar>
              <w:top w:w="15" w:type="dxa"/>
              <w:left w:w="15" w:type="dxa"/>
              <w:right w:w="15" w:type="dxa"/>
            </w:tcMar>
            <w:vAlign w:val="bottom"/>
          </w:tcPr>
          <w:p w:rsidR="714252C5" w:rsidP="714252C5" w:rsidRDefault="714252C5" w14:paraId="7B7892E5" w14:textId="456CD29B">
            <w:r w:rsidRPr="714252C5">
              <w:rPr>
                <w:rFonts w:ascii="Calibri" w:hAnsi="Calibri" w:eastAsia="Calibri" w:cs="Calibri"/>
                <w:color w:val="000000" w:themeColor="text1"/>
              </w:rPr>
              <w:t>Over 1</w:t>
            </w:r>
            <w:proofErr w:type="gramStart"/>
            <w:r w:rsidRPr="714252C5">
              <w:rPr>
                <w:rFonts w:ascii="Calibri" w:hAnsi="Calibri" w:eastAsia="Calibri" w:cs="Calibri"/>
                <w:color w:val="000000" w:themeColor="text1"/>
              </w:rPr>
              <w:t xml:space="preserve">K  </w:t>
            </w:r>
            <w:proofErr w:type="spellStart"/>
            <w:r w:rsidRPr="714252C5">
              <w:rPr>
                <w:rFonts w:ascii="Calibri" w:hAnsi="Calibri" w:eastAsia="Calibri" w:cs="Calibri"/>
                <w:color w:val="000000" w:themeColor="text1"/>
              </w:rPr>
              <w:t>Pcard</w:t>
            </w:r>
            <w:proofErr w:type="spellEnd"/>
            <w:proofErr w:type="gramEnd"/>
            <w:r w:rsidRPr="714252C5">
              <w:rPr>
                <w:rFonts w:ascii="Calibri" w:hAnsi="Calibri" w:eastAsia="Calibri" w:cs="Calibri"/>
                <w:color w:val="000000" w:themeColor="text1"/>
              </w:rPr>
              <w:t xml:space="preserve"> Spend - Ledger Code Name</w:t>
            </w:r>
          </w:p>
        </w:tc>
      </w:tr>
      <w:tr w:rsidR="714252C5" w:rsidTr="714252C5" w14:paraId="61ECAF9A" w14:textId="77777777">
        <w:trPr>
          <w:trHeight w:val="285"/>
        </w:trPr>
        <w:tc>
          <w:tcPr>
            <w:tcW w:w="1803" w:type="dxa"/>
            <w:tcBorders>
              <w:top w:val="single" w:color="auto" w:sz="4" w:space="0"/>
              <w:left w:val="nil"/>
              <w:bottom w:val="nil"/>
              <w:right w:val="nil"/>
            </w:tcBorders>
            <w:shd w:val="clear" w:color="auto" w:fill="5B9BD5" w:themeFill="accent5"/>
            <w:tcMar>
              <w:top w:w="15" w:type="dxa"/>
              <w:left w:w="15" w:type="dxa"/>
              <w:right w:w="15" w:type="dxa"/>
            </w:tcMar>
            <w:vAlign w:val="bottom"/>
          </w:tcPr>
          <w:p w:rsidR="714252C5" w:rsidP="714252C5" w:rsidRDefault="714252C5" w14:paraId="1E3A2F8F" w14:textId="55D2F8D2">
            <w:r w:rsidRPr="714252C5">
              <w:rPr>
                <w:rFonts w:ascii="Calibri" w:hAnsi="Calibri" w:eastAsia="Calibri" w:cs="Calibri"/>
                <w:b/>
                <w:bCs/>
                <w:color w:val="FFFFFF" w:themeColor="background1"/>
              </w:rPr>
              <w:t>Ledger Code Name</w:t>
            </w:r>
          </w:p>
        </w:tc>
        <w:tc>
          <w:tcPr>
            <w:tcW w:w="1803" w:type="dxa"/>
            <w:tcBorders>
              <w:top w:val="nil"/>
              <w:left w:val="nil"/>
              <w:bottom w:val="nil"/>
              <w:right w:val="nil"/>
            </w:tcBorders>
            <w:shd w:val="clear" w:color="auto" w:fill="5B9BD5" w:themeFill="accent5"/>
            <w:tcMar>
              <w:top w:w="15" w:type="dxa"/>
              <w:left w:w="15" w:type="dxa"/>
              <w:right w:w="15" w:type="dxa"/>
            </w:tcMar>
            <w:vAlign w:val="bottom"/>
          </w:tcPr>
          <w:p w:rsidR="714252C5" w:rsidP="714252C5" w:rsidRDefault="714252C5" w14:paraId="1B5EE042" w14:textId="525C463B">
            <w:r w:rsidRPr="714252C5">
              <w:rPr>
                <w:rFonts w:ascii="Calibri" w:hAnsi="Calibri" w:eastAsia="Calibri" w:cs="Calibri"/>
                <w:b/>
                <w:bCs/>
                <w:color w:val="FFFFFF" w:themeColor="background1"/>
              </w:rPr>
              <w:t>Value</w:t>
            </w:r>
          </w:p>
        </w:tc>
        <w:tc>
          <w:tcPr>
            <w:tcW w:w="1803" w:type="dxa"/>
            <w:tcBorders>
              <w:top w:val="nil"/>
              <w:left w:val="nil"/>
              <w:bottom w:val="nil"/>
              <w:right w:val="nil"/>
            </w:tcBorders>
            <w:shd w:val="clear" w:color="auto" w:fill="5B9BD5" w:themeFill="accent5"/>
            <w:tcMar>
              <w:top w:w="15" w:type="dxa"/>
              <w:left w:w="15" w:type="dxa"/>
              <w:right w:w="15" w:type="dxa"/>
            </w:tcMar>
            <w:vAlign w:val="bottom"/>
          </w:tcPr>
          <w:p w:rsidR="714252C5" w:rsidP="714252C5" w:rsidRDefault="714252C5" w14:paraId="77B84D42" w14:textId="47CD7E56">
            <w:r w:rsidRPr="714252C5">
              <w:rPr>
                <w:rFonts w:ascii="Calibri" w:hAnsi="Calibri" w:eastAsia="Calibri" w:cs="Calibri"/>
                <w:b/>
                <w:bCs/>
                <w:color w:val="FFFFFF" w:themeColor="background1"/>
              </w:rPr>
              <w:t>% Value</w:t>
            </w:r>
          </w:p>
        </w:tc>
        <w:tc>
          <w:tcPr>
            <w:tcW w:w="1803" w:type="dxa"/>
            <w:tcBorders>
              <w:top w:val="nil"/>
              <w:left w:val="nil"/>
              <w:bottom w:val="nil"/>
              <w:right w:val="nil"/>
            </w:tcBorders>
            <w:shd w:val="clear" w:color="auto" w:fill="5B9BD5" w:themeFill="accent5"/>
            <w:tcMar>
              <w:top w:w="15" w:type="dxa"/>
              <w:left w:w="15" w:type="dxa"/>
              <w:right w:w="15" w:type="dxa"/>
            </w:tcMar>
            <w:vAlign w:val="bottom"/>
          </w:tcPr>
          <w:p w:rsidR="714252C5" w:rsidP="714252C5" w:rsidRDefault="714252C5" w14:paraId="58F52DC1" w14:textId="4622B3C1">
            <w:r w:rsidRPr="714252C5">
              <w:rPr>
                <w:rFonts w:ascii="Calibri" w:hAnsi="Calibri" w:eastAsia="Calibri" w:cs="Calibri"/>
                <w:b/>
                <w:bCs/>
                <w:color w:val="FFFFFF" w:themeColor="background1"/>
              </w:rPr>
              <w:t>Volume</w:t>
            </w:r>
          </w:p>
        </w:tc>
        <w:tc>
          <w:tcPr>
            <w:tcW w:w="1803" w:type="dxa"/>
            <w:tcBorders>
              <w:top w:val="nil"/>
              <w:left w:val="nil"/>
              <w:bottom w:val="nil"/>
              <w:right w:val="nil"/>
            </w:tcBorders>
            <w:shd w:val="clear" w:color="auto" w:fill="5B9BD5" w:themeFill="accent5"/>
            <w:tcMar>
              <w:top w:w="15" w:type="dxa"/>
              <w:left w:w="15" w:type="dxa"/>
              <w:right w:w="15" w:type="dxa"/>
            </w:tcMar>
            <w:vAlign w:val="bottom"/>
          </w:tcPr>
          <w:p w:rsidR="714252C5" w:rsidP="714252C5" w:rsidRDefault="714252C5" w14:paraId="354F178A" w14:textId="7411967E">
            <w:r w:rsidRPr="714252C5">
              <w:rPr>
                <w:rFonts w:ascii="Calibri" w:hAnsi="Calibri" w:eastAsia="Calibri" w:cs="Calibri"/>
                <w:b/>
                <w:bCs/>
                <w:color w:val="FFFFFF" w:themeColor="background1"/>
              </w:rPr>
              <w:t>% Volume</w:t>
            </w:r>
          </w:p>
        </w:tc>
      </w:tr>
      <w:tr w:rsidR="714252C5" w:rsidTr="714252C5" w14:paraId="49C220FA"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7EB9EDBC" w14:textId="6966D142">
            <w:r w:rsidRPr="714252C5">
              <w:rPr>
                <w:rFonts w:ascii="Calibri" w:hAnsi="Calibri" w:eastAsia="Calibri" w:cs="Calibri"/>
                <w:color w:val="000000" w:themeColor="text1"/>
              </w:rPr>
              <w:t>Fleet Management</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40D95235" w14:textId="29159560">
            <w:r w:rsidRPr="714252C5">
              <w:rPr>
                <w:rFonts w:ascii="Calibri" w:hAnsi="Calibri" w:eastAsia="Calibri" w:cs="Calibri"/>
                <w:color w:val="000000" w:themeColor="text1"/>
              </w:rPr>
              <w:t>£27,330.00</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31A2294F" w14:textId="0D142DBE">
            <w:r w:rsidRPr="714252C5">
              <w:rPr>
                <w:rFonts w:ascii="Calibri" w:hAnsi="Calibri" w:eastAsia="Calibri" w:cs="Calibri"/>
                <w:color w:val="000000" w:themeColor="text1"/>
              </w:rPr>
              <w:t>23.1%</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67C499F1" w14:textId="02EE7E1B">
            <w:r w:rsidRPr="714252C5">
              <w:rPr>
                <w:rFonts w:ascii="Calibri" w:hAnsi="Calibri" w:eastAsia="Calibri" w:cs="Calibri"/>
                <w:color w:val="000000" w:themeColor="text1"/>
              </w:rPr>
              <w:t>104</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61B4AC4F" w14:textId="3A3119F2">
            <w:r w:rsidRPr="714252C5">
              <w:rPr>
                <w:rFonts w:ascii="Calibri" w:hAnsi="Calibri" w:eastAsia="Calibri" w:cs="Calibri"/>
                <w:color w:val="000000" w:themeColor="text1"/>
              </w:rPr>
              <w:t>11.4%</w:t>
            </w:r>
          </w:p>
        </w:tc>
      </w:tr>
      <w:tr w:rsidR="714252C5" w:rsidTr="714252C5" w14:paraId="73B883B7"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5812B81A" w14:textId="28B17F3F">
            <w:proofErr w:type="spellStart"/>
            <w:r w:rsidRPr="714252C5">
              <w:rPr>
                <w:rFonts w:ascii="Calibri" w:hAnsi="Calibri" w:eastAsia="Calibri" w:cs="Calibri"/>
                <w:color w:val="000000" w:themeColor="text1"/>
              </w:rPr>
              <w:t>Resid</w:t>
            </w:r>
            <w:proofErr w:type="spellEnd"/>
            <w:r w:rsidRPr="714252C5">
              <w:rPr>
                <w:rFonts w:ascii="Calibri" w:hAnsi="Calibri" w:eastAsia="Calibri" w:cs="Calibri"/>
                <w:color w:val="000000" w:themeColor="text1"/>
              </w:rPr>
              <w:t xml:space="preserve"> Care and Ind Living</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3DA7DA1E" w14:textId="2E26FA17">
            <w:r w:rsidRPr="714252C5">
              <w:rPr>
                <w:rFonts w:ascii="Calibri" w:hAnsi="Calibri" w:eastAsia="Calibri" w:cs="Calibri"/>
                <w:color w:val="000000" w:themeColor="text1"/>
              </w:rPr>
              <w:t>£12,015.52</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2BDD0988" w14:textId="2A5486D3">
            <w:r w:rsidRPr="714252C5">
              <w:rPr>
                <w:rFonts w:ascii="Calibri" w:hAnsi="Calibri" w:eastAsia="Calibri" w:cs="Calibri"/>
                <w:color w:val="000000" w:themeColor="text1"/>
              </w:rPr>
              <w:t>10.2%</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122B02E6" w14:textId="382DE0DC">
            <w:r w:rsidRPr="714252C5">
              <w:rPr>
                <w:rFonts w:ascii="Calibri" w:hAnsi="Calibri" w:eastAsia="Calibri" w:cs="Calibri"/>
                <w:color w:val="000000" w:themeColor="text1"/>
              </w:rPr>
              <w:t>79</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69D903A" w14:textId="644C6929">
            <w:r w:rsidRPr="714252C5">
              <w:rPr>
                <w:rFonts w:ascii="Calibri" w:hAnsi="Calibri" w:eastAsia="Calibri" w:cs="Calibri"/>
                <w:color w:val="000000" w:themeColor="text1"/>
              </w:rPr>
              <w:t>8.7%</w:t>
            </w:r>
          </w:p>
        </w:tc>
      </w:tr>
      <w:tr w:rsidR="714252C5" w:rsidTr="714252C5" w14:paraId="76A90599"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D5DFF4B" w14:textId="5E83D4B0">
            <w:r w:rsidRPr="714252C5">
              <w:rPr>
                <w:rFonts w:ascii="Calibri" w:hAnsi="Calibri" w:eastAsia="Calibri" w:cs="Calibri"/>
                <w:color w:val="000000" w:themeColor="text1"/>
              </w:rPr>
              <w:t>General Health Prevention</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7484D678" w14:textId="3349E207">
            <w:r w:rsidRPr="714252C5">
              <w:rPr>
                <w:rFonts w:ascii="Calibri" w:hAnsi="Calibri" w:eastAsia="Calibri" w:cs="Calibri"/>
                <w:color w:val="000000" w:themeColor="text1"/>
              </w:rPr>
              <w:t>£9,168.25</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50CB7368" w14:textId="233644FE">
            <w:r w:rsidRPr="714252C5">
              <w:rPr>
                <w:rFonts w:ascii="Calibri" w:hAnsi="Calibri" w:eastAsia="Calibri" w:cs="Calibri"/>
                <w:color w:val="000000" w:themeColor="text1"/>
              </w:rPr>
              <w:t>7.8%</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67E8BAAE" w14:textId="47B49C78">
            <w:r w:rsidRPr="714252C5">
              <w:rPr>
                <w:rFonts w:ascii="Calibri" w:hAnsi="Calibri" w:eastAsia="Calibri" w:cs="Calibri"/>
                <w:color w:val="000000" w:themeColor="text1"/>
              </w:rPr>
              <w:t>13</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6A368BB9" w14:textId="7144B3DF">
            <w:r w:rsidRPr="714252C5">
              <w:rPr>
                <w:rFonts w:ascii="Calibri" w:hAnsi="Calibri" w:eastAsia="Calibri" w:cs="Calibri"/>
                <w:color w:val="000000" w:themeColor="text1"/>
              </w:rPr>
              <w:t>1.4%</w:t>
            </w:r>
          </w:p>
        </w:tc>
      </w:tr>
      <w:tr w:rsidR="714252C5" w:rsidTr="714252C5" w14:paraId="6EC009D7"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337C8A86" w14:textId="1FF973D2">
            <w:r w:rsidRPr="714252C5">
              <w:rPr>
                <w:rFonts w:ascii="Calibri" w:hAnsi="Calibri" w:eastAsia="Calibri" w:cs="Calibri"/>
                <w:color w:val="000000" w:themeColor="text1"/>
              </w:rPr>
              <w:t>Homelessness</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4F673404" w14:textId="38D7641A">
            <w:r w:rsidRPr="714252C5">
              <w:rPr>
                <w:rFonts w:ascii="Calibri" w:hAnsi="Calibri" w:eastAsia="Calibri" w:cs="Calibri"/>
                <w:color w:val="000000" w:themeColor="text1"/>
              </w:rPr>
              <w:t>£5,792.01</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52F6E7BC" w14:textId="47FC5635">
            <w:r w:rsidRPr="714252C5">
              <w:rPr>
                <w:rFonts w:ascii="Calibri" w:hAnsi="Calibri" w:eastAsia="Calibri" w:cs="Calibri"/>
                <w:color w:val="000000" w:themeColor="text1"/>
              </w:rPr>
              <w:t>4.9%</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24F158F0" w14:textId="46C81380">
            <w:r w:rsidRPr="714252C5">
              <w:rPr>
                <w:rFonts w:ascii="Calibri" w:hAnsi="Calibri" w:eastAsia="Calibri" w:cs="Calibri"/>
                <w:color w:val="000000" w:themeColor="text1"/>
              </w:rPr>
              <w:t>102</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01F454E0" w14:textId="0E5CF00F">
            <w:r w:rsidRPr="714252C5">
              <w:rPr>
                <w:rFonts w:ascii="Calibri" w:hAnsi="Calibri" w:eastAsia="Calibri" w:cs="Calibri"/>
                <w:color w:val="000000" w:themeColor="text1"/>
              </w:rPr>
              <w:t>11.2%</w:t>
            </w:r>
          </w:p>
        </w:tc>
      </w:tr>
      <w:tr w:rsidR="714252C5" w:rsidTr="714252C5" w14:paraId="5FF8AF8F"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5651D825" w14:textId="7201D079">
            <w:r w:rsidRPr="714252C5">
              <w:rPr>
                <w:rFonts w:ascii="Calibri" w:hAnsi="Calibri" w:eastAsia="Calibri" w:cs="Calibri"/>
                <w:color w:val="000000" w:themeColor="text1"/>
              </w:rPr>
              <w:t>Head of Fixed Assets</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23E30C4D" w14:textId="164D5F47">
            <w:r w:rsidRPr="714252C5">
              <w:rPr>
                <w:rFonts w:ascii="Calibri" w:hAnsi="Calibri" w:eastAsia="Calibri" w:cs="Calibri"/>
                <w:color w:val="000000" w:themeColor="text1"/>
              </w:rPr>
              <w:t>£5,226.59</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D24E186" w14:textId="645466DD">
            <w:r w:rsidRPr="714252C5">
              <w:rPr>
                <w:rFonts w:ascii="Calibri" w:hAnsi="Calibri" w:eastAsia="Calibri" w:cs="Calibri"/>
                <w:color w:val="000000" w:themeColor="text1"/>
              </w:rPr>
              <w:t>4.4%</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5098C6B4" w14:textId="65D4F461">
            <w:r w:rsidRPr="714252C5">
              <w:rPr>
                <w:rFonts w:ascii="Calibri" w:hAnsi="Calibri" w:eastAsia="Calibri" w:cs="Calibri"/>
                <w:color w:val="000000" w:themeColor="text1"/>
              </w:rPr>
              <w:t>14</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7C8AB3AB" w14:textId="5E214C88">
            <w:r w:rsidRPr="714252C5">
              <w:rPr>
                <w:rFonts w:ascii="Calibri" w:hAnsi="Calibri" w:eastAsia="Calibri" w:cs="Calibri"/>
                <w:color w:val="000000" w:themeColor="text1"/>
              </w:rPr>
              <w:t>1.5%</w:t>
            </w:r>
          </w:p>
        </w:tc>
      </w:tr>
      <w:tr w:rsidR="714252C5" w:rsidTr="714252C5" w14:paraId="05515D69"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40455061" w14:textId="444F21D0">
            <w:r w:rsidRPr="714252C5">
              <w:rPr>
                <w:rFonts w:ascii="Calibri" w:hAnsi="Calibri" w:eastAsia="Calibri" w:cs="Calibri"/>
                <w:color w:val="000000" w:themeColor="text1"/>
              </w:rPr>
              <w:t>Business Unit</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3A952DCD" w14:textId="5F65EDBF">
            <w:r w:rsidRPr="714252C5">
              <w:rPr>
                <w:rFonts w:ascii="Calibri" w:hAnsi="Calibri" w:eastAsia="Calibri" w:cs="Calibri"/>
                <w:color w:val="000000" w:themeColor="text1"/>
              </w:rPr>
              <w:t>£4,865.21</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E64DB55" w14:textId="5673ABC2">
            <w:r w:rsidRPr="714252C5">
              <w:rPr>
                <w:rFonts w:ascii="Calibri" w:hAnsi="Calibri" w:eastAsia="Calibri" w:cs="Calibri"/>
                <w:color w:val="000000" w:themeColor="text1"/>
              </w:rPr>
              <w:t>4.1%</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3EA78B7B" w14:textId="50C23A10">
            <w:r w:rsidRPr="714252C5">
              <w:rPr>
                <w:rFonts w:ascii="Calibri" w:hAnsi="Calibri" w:eastAsia="Calibri" w:cs="Calibri"/>
                <w:color w:val="000000" w:themeColor="text1"/>
              </w:rPr>
              <w:t>49</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3146BD89" w14:textId="09F0A28F">
            <w:r w:rsidRPr="714252C5">
              <w:rPr>
                <w:rFonts w:ascii="Calibri" w:hAnsi="Calibri" w:eastAsia="Calibri" w:cs="Calibri"/>
                <w:color w:val="000000" w:themeColor="text1"/>
              </w:rPr>
              <w:t>5.4%</w:t>
            </w:r>
          </w:p>
        </w:tc>
      </w:tr>
      <w:tr w:rsidR="714252C5" w:rsidTr="714252C5" w14:paraId="369154D9"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774B73D6" w14:textId="65725F77">
            <w:r w:rsidRPr="714252C5">
              <w:rPr>
                <w:rFonts w:ascii="Calibri" w:hAnsi="Calibri" w:eastAsia="Calibri" w:cs="Calibri"/>
                <w:color w:val="000000" w:themeColor="text1"/>
              </w:rPr>
              <w:t>Parks &amp; Miscellaneous Services</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597807AB" w14:textId="4EB6C026">
            <w:r w:rsidRPr="714252C5">
              <w:rPr>
                <w:rFonts w:ascii="Calibri" w:hAnsi="Calibri" w:eastAsia="Calibri" w:cs="Calibri"/>
                <w:color w:val="000000" w:themeColor="text1"/>
              </w:rPr>
              <w:t>£3,186.22</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2B6089D3" w14:textId="603DC301">
            <w:r w:rsidRPr="714252C5">
              <w:rPr>
                <w:rFonts w:ascii="Calibri" w:hAnsi="Calibri" w:eastAsia="Calibri" w:cs="Calibri"/>
                <w:color w:val="000000" w:themeColor="text1"/>
              </w:rPr>
              <w:t>2.7%</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0369C50" w14:textId="5F1ED1C3">
            <w:r w:rsidRPr="714252C5">
              <w:rPr>
                <w:rFonts w:ascii="Calibri" w:hAnsi="Calibri" w:eastAsia="Calibri" w:cs="Calibri"/>
                <w:color w:val="000000" w:themeColor="text1"/>
              </w:rPr>
              <w:t>4</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20C6362A" w14:textId="43EA05F8">
            <w:r w:rsidRPr="714252C5">
              <w:rPr>
                <w:rFonts w:ascii="Calibri" w:hAnsi="Calibri" w:eastAsia="Calibri" w:cs="Calibri"/>
                <w:color w:val="000000" w:themeColor="text1"/>
              </w:rPr>
              <w:t>0.4%</w:t>
            </w:r>
          </w:p>
        </w:tc>
      </w:tr>
      <w:tr w:rsidR="714252C5" w:rsidTr="714252C5" w14:paraId="19F16555"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206F4819" w14:textId="5F56EBCE">
            <w:r w:rsidRPr="714252C5">
              <w:rPr>
                <w:rFonts w:ascii="Calibri" w:hAnsi="Calibri" w:eastAsia="Calibri" w:cs="Calibri"/>
                <w:color w:val="000000" w:themeColor="text1"/>
              </w:rPr>
              <w:t>Hospital Tuition</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10A87827" w14:textId="08C71FF4">
            <w:r w:rsidRPr="714252C5">
              <w:rPr>
                <w:rFonts w:ascii="Calibri" w:hAnsi="Calibri" w:eastAsia="Calibri" w:cs="Calibri"/>
                <w:color w:val="000000" w:themeColor="text1"/>
              </w:rPr>
              <w:t>£2,846.96</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0666E17C" w14:textId="0B79DEC5">
            <w:r w:rsidRPr="714252C5">
              <w:rPr>
                <w:rFonts w:ascii="Calibri" w:hAnsi="Calibri" w:eastAsia="Calibri" w:cs="Calibri"/>
                <w:color w:val="000000" w:themeColor="text1"/>
              </w:rPr>
              <w:t>2.4%</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46878DC5" w14:textId="2EE5F4DF">
            <w:r w:rsidRPr="714252C5">
              <w:rPr>
                <w:rFonts w:ascii="Calibri" w:hAnsi="Calibri" w:eastAsia="Calibri" w:cs="Calibri"/>
                <w:color w:val="000000" w:themeColor="text1"/>
              </w:rPr>
              <w:t>37</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183E6D28" w14:textId="5996F51E">
            <w:r w:rsidRPr="714252C5">
              <w:rPr>
                <w:rFonts w:ascii="Calibri" w:hAnsi="Calibri" w:eastAsia="Calibri" w:cs="Calibri"/>
                <w:color w:val="000000" w:themeColor="text1"/>
              </w:rPr>
              <w:t>4.1%</w:t>
            </w:r>
          </w:p>
        </w:tc>
      </w:tr>
      <w:tr w:rsidR="714252C5" w:rsidTr="714252C5" w14:paraId="42495A4E"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2C495AF4" w14:textId="53BD4C9F">
            <w:r w:rsidRPr="714252C5">
              <w:rPr>
                <w:rFonts w:ascii="Calibri" w:hAnsi="Calibri" w:eastAsia="Calibri" w:cs="Calibri"/>
                <w:color w:val="000000" w:themeColor="text1"/>
              </w:rPr>
              <w:t>Corporate Strategy</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C0DACFA" w14:textId="3DF19AA4">
            <w:r w:rsidRPr="714252C5">
              <w:rPr>
                <w:rFonts w:ascii="Calibri" w:hAnsi="Calibri" w:eastAsia="Calibri" w:cs="Calibri"/>
                <w:color w:val="000000" w:themeColor="text1"/>
              </w:rPr>
              <w:t>£2,755.00</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6C98AA94" w14:textId="1367CB5F">
            <w:r w:rsidRPr="714252C5">
              <w:rPr>
                <w:rFonts w:ascii="Calibri" w:hAnsi="Calibri" w:eastAsia="Calibri" w:cs="Calibri"/>
                <w:color w:val="000000" w:themeColor="text1"/>
              </w:rPr>
              <w:t>2.3%</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3FE2B5FB" w14:textId="5B78D145">
            <w:r w:rsidRPr="714252C5">
              <w:rPr>
                <w:rFonts w:ascii="Calibri" w:hAnsi="Calibri" w:eastAsia="Calibri" w:cs="Calibri"/>
                <w:color w:val="000000" w:themeColor="text1"/>
              </w:rPr>
              <w:t>1</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3D0D5961" w14:textId="12B38568">
            <w:r w:rsidRPr="714252C5">
              <w:rPr>
                <w:rFonts w:ascii="Calibri" w:hAnsi="Calibri" w:eastAsia="Calibri" w:cs="Calibri"/>
                <w:color w:val="000000" w:themeColor="text1"/>
              </w:rPr>
              <w:t>0.1%</w:t>
            </w:r>
          </w:p>
        </w:tc>
      </w:tr>
      <w:tr w:rsidR="714252C5" w:rsidTr="714252C5" w14:paraId="5382F038"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3D5AC31F" w14:textId="06107EE1">
            <w:r w:rsidRPr="714252C5">
              <w:rPr>
                <w:rFonts w:ascii="Calibri" w:hAnsi="Calibri" w:eastAsia="Calibri" w:cs="Calibri"/>
                <w:color w:val="000000" w:themeColor="text1"/>
              </w:rPr>
              <w:t xml:space="preserve">Foster Care, Adoption &amp; </w:t>
            </w:r>
            <w:proofErr w:type="spellStart"/>
            <w:r w:rsidRPr="714252C5">
              <w:rPr>
                <w:rFonts w:ascii="Calibri" w:hAnsi="Calibri" w:eastAsia="Calibri" w:cs="Calibri"/>
                <w:color w:val="000000" w:themeColor="text1"/>
              </w:rPr>
              <w:t>Resid</w:t>
            </w:r>
            <w:proofErr w:type="spellEnd"/>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4AA0D9B2" w14:textId="08006F66">
            <w:r w:rsidRPr="714252C5">
              <w:rPr>
                <w:rFonts w:ascii="Calibri" w:hAnsi="Calibri" w:eastAsia="Calibri" w:cs="Calibri"/>
                <w:color w:val="000000" w:themeColor="text1"/>
              </w:rPr>
              <w:t>£2,650.16</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284B064D" w14:textId="570A5924">
            <w:r w:rsidRPr="714252C5">
              <w:rPr>
                <w:rFonts w:ascii="Calibri" w:hAnsi="Calibri" w:eastAsia="Calibri" w:cs="Calibri"/>
                <w:color w:val="000000" w:themeColor="text1"/>
              </w:rPr>
              <w:t>2.2%</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BBD3E1B" w14:textId="5BEE024A">
            <w:r w:rsidRPr="714252C5">
              <w:rPr>
                <w:rFonts w:ascii="Calibri" w:hAnsi="Calibri" w:eastAsia="Calibri" w:cs="Calibri"/>
                <w:color w:val="000000" w:themeColor="text1"/>
              </w:rPr>
              <w:t>37</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4833C6BB" w14:textId="2E940F6C">
            <w:r w:rsidRPr="714252C5">
              <w:rPr>
                <w:rFonts w:ascii="Calibri" w:hAnsi="Calibri" w:eastAsia="Calibri" w:cs="Calibri"/>
                <w:color w:val="000000" w:themeColor="text1"/>
              </w:rPr>
              <w:t>4.1%</w:t>
            </w:r>
          </w:p>
        </w:tc>
      </w:tr>
      <w:tr w:rsidR="714252C5" w:rsidTr="714252C5" w14:paraId="458B29A8"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73C36203" w14:textId="63C1D82F">
            <w:r w:rsidRPr="714252C5">
              <w:rPr>
                <w:rFonts w:ascii="Calibri" w:hAnsi="Calibri" w:eastAsia="Calibri" w:cs="Calibri"/>
                <w:color w:val="000000" w:themeColor="text1"/>
              </w:rPr>
              <w:t>Learning Disability Resources</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5BBA2F74" w14:textId="0E57B8B4">
            <w:r w:rsidRPr="714252C5">
              <w:rPr>
                <w:rFonts w:ascii="Calibri" w:hAnsi="Calibri" w:eastAsia="Calibri" w:cs="Calibri"/>
                <w:color w:val="000000" w:themeColor="text1"/>
              </w:rPr>
              <w:t>£2,622.00</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3C84E5E5" w14:textId="2F1F043C">
            <w:r w:rsidRPr="714252C5">
              <w:rPr>
                <w:rFonts w:ascii="Calibri" w:hAnsi="Calibri" w:eastAsia="Calibri" w:cs="Calibri"/>
                <w:color w:val="000000" w:themeColor="text1"/>
              </w:rPr>
              <w:t>2.2%</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479C653D" w14:textId="1A8426E2">
            <w:r w:rsidRPr="714252C5">
              <w:rPr>
                <w:rFonts w:ascii="Calibri" w:hAnsi="Calibri" w:eastAsia="Calibri" w:cs="Calibri"/>
                <w:color w:val="000000" w:themeColor="text1"/>
              </w:rPr>
              <w:t>74</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09233A47" w14:textId="65A7B64A">
            <w:r w:rsidRPr="714252C5">
              <w:rPr>
                <w:rFonts w:ascii="Calibri" w:hAnsi="Calibri" w:eastAsia="Calibri" w:cs="Calibri"/>
                <w:color w:val="000000" w:themeColor="text1"/>
              </w:rPr>
              <w:t>8.1%</w:t>
            </w:r>
          </w:p>
        </w:tc>
      </w:tr>
      <w:tr w:rsidR="714252C5" w:rsidTr="714252C5" w14:paraId="1DDAB118"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72DC453E" w14:textId="3AC47F0D">
            <w:r w:rsidRPr="714252C5">
              <w:rPr>
                <w:rFonts w:ascii="Calibri" w:hAnsi="Calibri" w:eastAsia="Calibri" w:cs="Calibri"/>
                <w:color w:val="000000" w:themeColor="text1"/>
              </w:rPr>
              <w:t>Fairway Residential Home</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3BEEFA5B" w14:textId="36EA84A8">
            <w:r w:rsidRPr="714252C5">
              <w:rPr>
                <w:rFonts w:ascii="Calibri" w:hAnsi="Calibri" w:eastAsia="Calibri" w:cs="Calibri"/>
                <w:color w:val="000000" w:themeColor="text1"/>
              </w:rPr>
              <w:t>£2,234.18</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4EAD299B" w14:textId="66AC20CA">
            <w:r w:rsidRPr="714252C5">
              <w:rPr>
                <w:rFonts w:ascii="Calibri" w:hAnsi="Calibri" w:eastAsia="Calibri" w:cs="Calibri"/>
                <w:color w:val="000000" w:themeColor="text1"/>
              </w:rPr>
              <w:t>1.9%</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5C1A24BE" w14:textId="744F2005">
            <w:r w:rsidRPr="714252C5">
              <w:rPr>
                <w:rFonts w:ascii="Calibri" w:hAnsi="Calibri" w:eastAsia="Calibri" w:cs="Calibri"/>
                <w:color w:val="000000" w:themeColor="text1"/>
              </w:rPr>
              <w:t>49</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25D58E50" w14:textId="6074EB19">
            <w:r w:rsidRPr="714252C5">
              <w:rPr>
                <w:rFonts w:ascii="Calibri" w:hAnsi="Calibri" w:eastAsia="Calibri" w:cs="Calibri"/>
                <w:color w:val="000000" w:themeColor="text1"/>
              </w:rPr>
              <w:t>5.4%</w:t>
            </w:r>
          </w:p>
        </w:tc>
      </w:tr>
      <w:tr w:rsidR="714252C5" w:rsidTr="714252C5" w14:paraId="4F4A4E2E"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0607BA0F" w14:textId="37D095A1">
            <w:r w:rsidRPr="714252C5">
              <w:rPr>
                <w:rFonts w:ascii="Calibri" w:hAnsi="Calibri" w:eastAsia="Calibri" w:cs="Calibri"/>
                <w:color w:val="000000" w:themeColor="text1"/>
              </w:rPr>
              <w:t>Design &amp; Maintenance Manager</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016C50A8" w14:textId="3F4E93B5">
            <w:r w:rsidRPr="714252C5">
              <w:rPr>
                <w:rFonts w:ascii="Calibri" w:hAnsi="Calibri" w:eastAsia="Calibri" w:cs="Calibri"/>
                <w:color w:val="000000" w:themeColor="text1"/>
              </w:rPr>
              <w:t>£1,991.81</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866E6E7" w14:textId="63B47AE8">
            <w:r w:rsidRPr="714252C5">
              <w:rPr>
                <w:rFonts w:ascii="Calibri" w:hAnsi="Calibri" w:eastAsia="Calibri" w:cs="Calibri"/>
                <w:color w:val="000000" w:themeColor="text1"/>
              </w:rPr>
              <w:t>1.7%</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23A9973" w14:textId="58612537">
            <w:r w:rsidRPr="714252C5">
              <w:rPr>
                <w:rFonts w:ascii="Calibri" w:hAnsi="Calibri" w:eastAsia="Calibri" w:cs="Calibri"/>
                <w:color w:val="000000" w:themeColor="text1"/>
              </w:rPr>
              <w:t>3</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2E1EDA4A" w14:textId="0B6CE64E">
            <w:r w:rsidRPr="714252C5">
              <w:rPr>
                <w:rFonts w:ascii="Calibri" w:hAnsi="Calibri" w:eastAsia="Calibri" w:cs="Calibri"/>
                <w:color w:val="000000" w:themeColor="text1"/>
              </w:rPr>
              <w:t>0.3%</w:t>
            </w:r>
          </w:p>
        </w:tc>
      </w:tr>
      <w:tr w:rsidR="714252C5" w:rsidTr="714252C5" w14:paraId="5264BE02"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06C60B01" w14:textId="4C577D17">
            <w:r w:rsidRPr="714252C5">
              <w:rPr>
                <w:rFonts w:ascii="Calibri" w:hAnsi="Calibri" w:eastAsia="Calibri" w:cs="Calibri"/>
                <w:color w:val="000000" w:themeColor="text1"/>
              </w:rPr>
              <w:t xml:space="preserve">People in Crises </w:t>
            </w:r>
            <w:proofErr w:type="gramStart"/>
            <w:r w:rsidRPr="714252C5">
              <w:rPr>
                <w:rFonts w:ascii="Calibri" w:hAnsi="Calibri" w:eastAsia="Calibri" w:cs="Calibri"/>
                <w:color w:val="000000" w:themeColor="text1"/>
              </w:rPr>
              <w:t>Grants  Admin</w:t>
            </w:r>
            <w:proofErr w:type="gramEnd"/>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58879453" w14:textId="19231A3A">
            <w:r w:rsidRPr="714252C5">
              <w:rPr>
                <w:rFonts w:ascii="Calibri" w:hAnsi="Calibri" w:eastAsia="Calibri" w:cs="Calibri"/>
                <w:color w:val="000000" w:themeColor="text1"/>
              </w:rPr>
              <w:t>£1,973.88</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27F0745" w14:textId="6BEBE95F">
            <w:r w:rsidRPr="714252C5">
              <w:rPr>
                <w:rFonts w:ascii="Calibri" w:hAnsi="Calibri" w:eastAsia="Calibri" w:cs="Calibri"/>
                <w:color w:val="000000" w:themeColor="text1"/>
              </w:rPr>
              <w:t>1.7%</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1FC98F7C" w14:textId="12BB38DD">
            <w:r w:rsidRPr="714252C5">
              <w:rPr>
                <w:rFonts w:ascii="Calibri" w:hAnsi="Calibri" w:eastAsia="Calibri" w:cs="Calibri"/>
                <w:color w:val="000000" w:themeColor="text1"/>
              </w:rPr>
              <w:t>10</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17B9E7FA" w14:textId="15FAF24C">
            <w:r w:rsidRPr="714252C5">
              <w:rPr>
                <w:rFonts w:ascii="Calibri" w:hAnsi="Calibri" w:eastAsia="Calibri" w:cs="Calibri"/>
                <w:color w:val="000000" w:themeColor="text1"/>
              </w:rPr>
              <w:t>1.1%</w:t>
            </w:r>
          </w:p>
        </w:tc>
      </w:tr>
      <w:tr w:rsidR="714252C5" w:rsidTr="714252C5" w14:paraId="42B910BF"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47ACF330" w14:textId="14655368">
            <w:r w:rsidRPr="714252C5">
              <w:rPr>
                <w:rFonts w:ascii="Calibri" w:hAnsi="Calibri" w:eastAsia="Calibri" w:cs="Calibri"/>
                <w:color w:val="000000" w:themeColor="text1"/>
              </w:rPr>
              <w:t>Tendered Contracts</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3808B5D7" w14:textId="730D64C7">
            <w:r w:rsidRPr="714252C5">
              <w:rPr>
                <w:rFonts w:ascii="Calibri" w:hAnsi="Calibri" w:eastAsia="Calibri" w:cs="Calibri"/>
                <w:color w:val="000000" w:themeColor="text1"/>
              </w:rPr>
              <w:t>£1,930.89</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6CC0E1DB" w14:textId="274CB091">
            <w:r w:rsidRPr="714252C5">
              <w:rPr>
                <w:rFonts w:ascii="Calibri" w:hAnsi="Calibri" w:eastAsia="Calibri" w:cs="Calibri"/>
                <w:color w:val="000000" w:themeColor="text1"/>
              </w:rPr>
              <w:t>1.6%</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002696AA" w14:textId="63926ABC">
            <w:r w:rsidRPr="714252C5">
              <w:rPr>
                <w:rFonts w:ascii="Calibri" w:hAnsi="Calibri" w:eastAsia="Calibri" w:cs="Calibri"/>
                <w:color w:val="000000" w:themeColor="text1"/>
              </w:rPr>
              <w:t>5</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001DD2E1" w14:textId="423C2CDB">
            <w:r w:rsidRPr="714252C5">
              <w:rPr>
                <w:rFonts w:ascii="Calibri" w:hAnsi="Calibri" w:eastAsia="Calibri" w:cs="Calibri"/>
                <w:color w:val="000000" w:themeColor="text1"/>
              </w:rPr>
              <w:t>0.5%</w:t>
            </w:r>
          </w:p>
        </w:tc>
      </w:tr>
      <w:tr w:rsidR="714252C5" w:rsidTr="714252C5" w14:paraId="545C3289"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0023CD03" w14:textId="7D09E35C">
            <w:proofErr w:type="gramStart"/>
            <w:r w:rsidRPr="714252C5">
              <w:rPr>
                <w:rFonts w:ascii="Calibri" w:hAnsi="Calibri" w:eastAsia="Calibri" w:cs="Calibri"/>
                <w:color w:val="000000" w:themeColor="text1"/>
              </w:rPr>
              <w:t>Non Delegated</w:t>
            </w:r>
            <w:proofErr w:type="gramEnd"/>
            <w:r w:rsidRPr="714252C5">
              <w:rPr>
                <w:rFonts w:ascii="Calibri" w:hAnsi="Calibri" w:eastAsia="Calibri" w:cs="Calibri"/>
                <w:color w:val="000000" w:themeColor="text1"/>
              </w:rPr>
              <w:t xml:space="preserve"> Education </w:t>
            </w:r>
            <w:proofErr w:type="spellStart"/>
            <w:r w:rsidRPr="714252C5">
              <w:rPr>
                <w:rFonts w:ascii="Calibri" w:hAnsi="Calibri" w:eastAsia="Calibri" w:cs="Calibri"/>
                <w:color w:val="000000" w:themeColor="text1"/>
              </w:rPr>
              <w:t>Generl</w:t>
            </w:r>
            <w:proofErr w:type="spellEnd"/>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2E5D2712" w14:textId="1D9A624B">
            <w:r w:rsidRPr="714252C5">
              <w:rPr>
                <w:rFonts w:ascii="Calibri" w:hAnsi="Calibri" w:eastAsia="Calibri" w:cs="Calibri"/>
                <w:color w:val="000000" w:themeColor="text1"/>
              </w:rPr>
              <w:t>£1,888.76</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8F482D5" w14:textId="34EB0DB5">
            <w:r w:rsidRPr="714252C5">
              <w:rPr>
                <w:rFonts w:ascii="Calibri" w:hAnsi="Calibri" w:eastAsia="Calibri" w:cs="Calibri"/>
                <w:color w:val="000000" w:themeColor="text1"/>
              </w:rPr>
              <w:t>1.6%</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0F85B5F8" w14:textId="6FD58375">
            <w:r w:rsidRPr="714252C5">
              <w:rPr>
                <w:rFonts w:ascii="Calibri" w:hAnsi="Calibri" w:eastAsia="Calibri" w:cs="Calibri"/>
                <w:color w:val="000000" w:themeColor="text1"/>
              </w:rPr>
              <w:t>16</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210C37D0" w14:textId="0078CA1C">
            <w:r w:rsidRPr="714252C5">
              <w:rPr>
                <w:rFonts w:ascii="Calibri" w:hAnsi="Calibri" w:eastAsia="Calibri" w:cs="Calibri"/>
                <w:color w:val="000000" w:themeColor="text1"/>
              </w:rPr>
              <w:t>1.8%</w:t>
            </w:r>
          </w:p>
        </w:tc>
      </w:tr>
      <w:tr w:rsidR="714252C5" w:rsidTr="714252C5" w14:paraId="0E1F6132"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EDF6183" w14:textId="5A35573C">
            <w:r w:rsidRPr="714252C5">
              <w:rPr>
                <w:rFonts w:ascii="Calibri" w:hAnsi="Calibri" w:eastAsia="Calibri" w:cs="Calibri"/>
                <w:color w:val="000000" w:themeColor="text1"/>
              </w:rPr>
              <w:t>Head of Children`s Services</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0188041F" w14:textId="2DD6FBFE">
            <w:r w:rsidRPr="714252C5">
              <w:rPr>
                <w:rFonts w:ascii="Calibri" w:hAnsi="Calibri" w:eastAsia="Calibri" w:cs="Calibri"/>
                <w:color w:val="000000" w:themeColor="text1"/>
              </w:rPr>
              <w:t>£1,827.02</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770903B3" w14:textId="6E6E4818">
            <w:r w:rsidRPr="714252C5">
              <w:rPr>
                <w:rFonts w:ascii="Calibri" w:hAnsi="Calibri" w:eastAsia="Calibri" w:cs="Calibri"/>
                <w:color w:val="000000" w:themeColor="text1"/>
              </w:rPr>
              <w:t>1.5%</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3322D9CC" w14:textId="37B44F69">
            <w:r w:rsidRPr="714252C5">
              <w:rPr>
                <w:rFonts w:ascii="Calibri" w:hAnsi="Calibri" w:eastAsia="Calibri" w:cs="Calibri"/>
                <w:color w:val="000000" w:themeColor="text1"/>
              </w:rPr>
              <w:t>16</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5CB5A8F7" w14:textId="3DC4768E">
            <w:r w:rsidRPr="714252C5">
              <w:rPr>
                <w:rFonts w:ascii="Calibri" w:hAnsi="Calibri" w:eastAsia="Calibri" w:cs="Calibri"/>
                <w:color w:val="000000" w:themeColor="text1"/>
              </w:rPr>
              <w:t>1.8%</w:t>
            </w:r>
          </w:p>
        </w:tc>
      </w:tr>
      <w:tr w:rsidR="714252C5" w:rsidTr="714252C5" w14:paraId="492F6827"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0953E04F" w14:textId="139ED5F6">
            <w:r w:rsidRPr="714252C5">
              <w:rPr>
                <w:rFonts w:ascii="Calibri" w:hAnsi="Calibri" w:eastAsia="Calibri" w:cs="Calibri"/>
                <w:color w:val="000000" w:themeColor="text1"/>
              </w:rPr>
              <w:t xml:space="preserve">Strategy &amp; Private Sector </w:t>
            </w:r>
            <w:proofErr w:type="spellStart"/>
            <w:r w:rsidRPr="714252C5">
              <w:rPr>
                <w:rFonts w:ascii="Calibri" w:hAnsi="Calibri" w:eastAsia="Calibri" w:cs="Calibri"/>
                <w:color w:val="000000" w:themeColor="text1"/>
              </w:rPr>
              <w:t>Hsg</w:t>
            </w:r>
            <w:proofErr w:type="spellEnd"/>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0370C075" w14:textId="0FBE127F">
            <w:r w:rsidRPr="714252C5">
              <w:rPr>
                <w:rFonts w:ascii="Calibri" w:hAnsi="Calibri" w:eastAsia="Calibri" w:cs="Calibri"/>
                <w:color w:val="000000" w:themeColor="text1"/>
              </w:rPr>
              <w:t>£1,743.52</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1B603788" w14:textId="74A91341">
            <w:r w:rsidRPr="714252C5">
              <w:rPr>
                <w:rFonts w:ascii="Calibri" w:hAnsi="Calibri" w:eastAsia="Calibri" w:cs="Calibri"/>
                <w:color w:val="000000" w:themeColor="text1"/>
              </w:rPr>
              <w:t>1.5%</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7D5DDF91" w14:textId="3B23A6E0">
            <w:r w:rsidRPr="714252C5">
              <w:rPr>
                <w:rFonts w:ascii="Calibri" w:hAnsi="Calibri" w:eastAsia="Calibri" w:cs="Calibri"/>
                <w:color w:val="000000" w:themeColor="text1"/>
              </w:rPr>
              <w:t>5</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C5BD0FB" w14:textId="32407976">
            <w:r w:rsidRPr="714252C5">
              <w:rPr>
                <w:rFonts w:ascii="Calibri" w:hAnsi="Calibri" w:eastAsia="Calibri" w:cs="Calibri"/>
                <w:color w:val="000000" w:themeColor="text1"/>
              </w:rPr>
              <w:t>0.5%</w:t>
            </w:r>
          </w:p>
        </w:tc>
      </w:tr>
      <w:tr w:rsidR="714252C5" w:rsidTr="714252C5" w14:paraId="4B87FE19"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5C9ADA9D" w14:textId="66D368EF">
            <w:r w:rsidRPr="714252C5">
              <w:rPr>
                <w:rFonts w:ascii="Calibri" w:hAnsi="Calibri" w:eastAsia="Calibri" w:cs="Calibri"/>
                <w:color w:val="000000" w:themeColor="text1"/>
              </w:rPr>
              <w:t>Voluntary Organisations - 3</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4D7B54B" w14:textId="15FCEFEF">
            <w:r w:rsidRPr="714252C5">
              <w:rPr>
                <w:rFonts w:ascii="Calibri" w:hAnsi="Calibri" w:eastAsia="Calibri" w:cs="Calibri"/>
                <w:color w:val="000000" w:themeColor="text1"/>
              </w:rPr>
              <w:t>£1,578.98</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DF5EEE8" w14:textId="1D8BB67B">
            <w:r w:rsidRPr="714252C5">
              <w:rPr>
                <w:rFonts w:ascii="Calibri" w:hAnsi="Calibri" w:eastAsia="Calibri" w:cs="Calibri"/>
                <w:color w:val="000000" w:themeColor="text1"/>
              </w:rPr>
              <w:t>1.3%</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0ADAE2BD" w14:textId="03D3A5BA">
            <w:r w:rsidRPr="714252C5">
              <w:rPr>
                <w:rFonts w:ascii="Calibri" w:hAnsi="Calibri" w:eastAsia="Calibri" w:cs="Calibri"/>
                <w:color w:val="000000" w:themeColor="text1"/>
              </w:rPr>
              <w:t>8</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65EBA323" w14:textId="0DAA80DD">
            <w:r w:rsidRPr="714252C5">
              <w:rPr>
                <w:rFonts w:ascii="Calibri" w:hAnsi="Calibri" w:eastAsia="Calibri" w:cs="Calibri"/>
                <w:color w:val="000000" w:themeColor="text1"/>
              </w:rPr>
              <w:t>0.9%</w:t>
            </w:r>
          </w:p>
        </w:tc>
      </w:tr>
      <w:tr w:rsidR="714252C5" w:rsidTr="714252C5" w14:paraId="600D34C5"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2A72CDBB" w14:textId="23CC210B">
            <w:r w:rsidRPr="714252C5">
              <w:rPr>
                <w:rFonts w:ascii="Calibri" w:hAnsi="Calibri" w:eastAsia="Calibri" w:cs="Calibri"/>
                <w:color w:val="000000" w:themeColor="text1"/>
              </w:rPr>
              <w:t xml:space="preserve">Day Care </w:t>
            </w:r>
            <w:proofErr w:type="spellStart"/>
            <w:r w:rsidRPr="714252C5">
              <w:rPr>
                <w:rFonts w:ascii="Calibri" w:hAnsi="Calibri" w:eastAsia="Calibri" w:cs="Calibri"/>
                <w:color w:val="000000" w:themeColor="text1"/>
              </w:rPr>
              <w:t>Regist</w:t>
            </w:r>
            <w:proofErr w:type="spellEnd"/>
            <w:r w:rsidRPr="714252C5">
              <w:rPr>
                <w:rFonts w:ascii="Calibri" w:hAnsi="Calibri" w:eastAsia="Calibri" w:cs="Calibri"/>
                <w:color w:val="000000" w:themeColor="text1"/>
              </w:rPr>
              <w:t xml:space="preserve"> &amp; Inspection</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086BB87A" w14:textId="57BA2D49">
            <w:r w:rsidRPr="714252C5">
              <w:rPr>
                <w:rFonts w:ascii="Calibri" w:hAnsi="Calibri" w:eastAsia="Calibri" w:cs="Calibri"/>
                <w:color w:val="000000" w:themeColor="text1"/>
              </w:rPr>
              <w:t>£1,426.99</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1B6E937C" w14:textId="42C190A9">
            <w:r w:rsidRPr="714252C5">
              <w:rPr>
                <w:rFonts w:ascii="Calibri" w:hAnsi="Calibri" w:eastAsia="Calibri" w:cs="Calibri"/>
                <w:color w:val="000000" w:themeColor="text1"/>
              </w:rPr>
              <w:t>1.2%</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02A3F76C" w14:textId="0C641036">
            <w:r w:rsidRPr="714252C5">
              <w:rPr>
                <w:rFonts w:ascii="Calibri" w:hAnsi="Calibri" w:eastAsia="Calibri" w:cs="Calibri"/>
                <w:color w:val="000000" w:themeColor="text1"/>
              </w:rPr>
              <w:t>6</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22B57E86" w14:textId="17D73328">
            <w:r w:rsidRPr="714252C5">
              <w:rPr>
                <w:rFonts w:ascii="Calibri" w:hAnsi="Calibri" w:eastAsia="Calibri" w:cs="Calibri"/>
                <w:color w:val="000000" w:themeColor="text1"/>
              </w:rPr>
              <w:t>0.7%</w:t>
            </w:r>
          </w:p>
        </w:tc>
      </w:tr>
      <w:tr w:rsidR="714252C5" w:rsidTr="714252C5" w14:paraId="525B8EF3"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4A0EAF6A" w14:textId="5887211B">
            <w:r w:rsidRPr="714252C5">
              <w:rPr>
                <w:rFonts w:ascii="Calibri" w:hAnsi="Calibri" w:eastAsia="Calibri" w:cs="Calibri"/>
                <w:color w:val="000000" w:themeColor="text1"/>
              </w:rPr>
              <w:t>Communications</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DE1994F" w14:textId="06402265">
            <w:r w:rsidRPr="714252C5">
              <w:rPr>
                <w:rFonts w:ascii="Calibri" w:hAnsi="Calibri" w:eastAsia="Calibri" w:cs="Calibri"/>
                <w:color w:val="000000" w:themeColor="text1"/>
              </w:rPr>
              <w:t>£1,371.82</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1885B83E" w14:textId="7C3D7D03">
            <w:r w:rsidRPr="714252C5">
              <w:rPr>
                <w:rFonts w:ascii="Calibri" w:hAnsi="Calibri" w:eastAsia="Calibri" w:cs="Calibri"/>
                <w:color w:val="000000" w:themeColor="text1"/>
              </w:rPr>
              <w:t>1.2%</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7417B66A" w14:textId="47124F29">
            <w:r w:rsidRPr="714252C5">
              <w:rPr>
                <w:rFonts w:ascii="Calibri" w:hAnsi="Calibri" w:eastAsia="Calibri" w:cs="Calibri"/>
                <w:color w:val="000000" w:themeColor="text1"/>
              </w:rPr>
              <w:t>7</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70CAAABF" w14:textId="566704A0">
            <w:r w:rsidRPr="714252C5">
              <w:rPr>
                <w:rFonts w:ascii="Calibri" w:hAnsi="Calibri" w:eastAsia="Calibri" w:cs="Calibri"/>
                <w:color w:val="000000" w:themeColor="text1"/>
              </w:rPr>
              <w:t>0.8%</w:t>
            </w:r>
          </w:p>
        </w:tc>
      </w:tr>
      <w:tr w:rsidR="714252C5" w:rsidTr="714252C5" w14:paraId="5B75A2D2"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2FBF088D" w14:textId="6695AE78">
            <w:r w:rsidRPr="714252C5">
              <w:rPr>
                <w:rFonts w:ascii="Calibri" w:hAnsi="Calibri" w:eastAsia="Calibri" w:cs="Calibri"/>
                <w:color w:val="000000" w:themeColor="text1"/>
              </w:rPr>
              <w:t>Chief Executive</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46EEC148" w14:textId="77173357">
            <w:r w:rsidRPr="714252C5">
              <w:rPr>
                <w:rFonts w:ascii="Calibri" w:hAnsi="Calibri" w:eastAsia="Calibri" w:cs="Calibri"/>
                <w:color w:val="000000" w:themeColor="text1"/>
              </w:rPr>
              <w:t>£1,328.70</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9F7DFDC" w14:textId="1FB78C23">
            <w:r w:rsidRPr="714252C5">
              <w:rPr>
                <w:rFonts w:ascii="Calibri" w:hAnsi="Calibri" w:eastAsia="Calibri" w:cs="Calibri"/>
                <w:color w:val="000000" w:themeColor="text1"/>
              </w:rPr>
              <w:t>1.1%</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0F1A889A" w14:textId="76E68628">
            <w:r w:rsidRPr="714252C5">
              <w:rPr>
                <w:rFonts w:ascii="Calibri" w:hAnsi="Calibri" w:eastAsia="Calibri" w:cs="Calibri"/>
                <w:color w:val="000000" w:themeColor="text1"/>
              </w:rPr>
              <w:t>15</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28D27D3" w14:textId="59DA359E">
            <w:r w:rsidRPr="714252C5">
              <w:rPr>
                <w:rFonts w:ascii="Calibri" w:hAnsi="Calibri" w:eastAsia="Calibri" w:cs="Calibri"/>
                <w:color w:val="000000" w:themeColor="text1"/>
              </w:rPr>
              <w:t>1.6%</w:t>
            </w:r>
          </w:p>
        </w:tc>
      </w:tr>
      <w:tr w:rsidR="714252C5" w:rsidTr="714252C5" w14:paraId="656E84D8"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655E3AF6" w14:textId="12E418AD">
            <w:r w:rsidRPr="714252C5">
              <w:rPr>
                <w:rFonts w:ascii="Calibri" w:hAnsi="Calibri" w:eastAsia="Calibri" w:cs="Calibri"/>
                <w:color w:val="000000" w:themeColor="text1"/>
              </w:rPr>
              <w:t xml:space="preserve">Sheltered </w:t>
            </w:r>
            <w:proofErr w:type="spellStart"/>
            <w:r w:rsidRPr="714252C5">
              <w:rPr>
                <w:rFonts w:ascii="Calibri" w:hAnsi="Calibri" w:eastAsia="Calibri" w:cs="Calibri"/>
                <w:color w:val="000000" w:themeColor="text1"/>
              </w:rPr>
              <w:t>Accomodation</w:t>
            </w:r>
            <w:proofErr w:type="spellEnd"/>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443FD2DF" w14:textId="30DB420B">
            <w:r w:rsidRPr="714252C5">
              <w:rPr>
                <w:rFonts w:ascii="Calibri" w:hAnsi="Calibri" w:eastAsia="Calibri" w:cs="Calibri"/>
                <w:color w:val="000000" w:themeColor="text1"/>
              </w:rPr>
              <w:t>£1,311.41</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30370E97" w14:textId="56D74DE0">
            <w:r w:rsidRPr="714252C5">
              <w:rPr>
                <w:rFonts w:ascii="Calibri" w:hAnsi="Calibri" w:eastAsia="Calibri" w:cs="Calibri"/>
                <w:color w:val="000000" w:themeColor="text1"/>
              </w:rPr>
              <w:t>1.1%</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52391E56" w14:textId="26877ED8">
            <w:r w:rsidRPr="714252C5">
              <w:rPr>
                <w:rFonts w:ascii="Calibri" w:hAnsi="Calibri" w:eastAsia="Calibri" w:cs="Calibri"/>
                <w:color w:val="000000" w:themeColor="text1"/>
              </w:rPr>
              <w:t>34</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6A599ED3" w14:textId="4EF194AA">
            <w:r w:rsidRPr="714252C5">
              <w:rPr>
                <w:rFonts w:ascii="Calibri" w:hAnsi="Calibri" w:eastAsia="Calibri" w:cs="Calibri"/>
                <w:color w:val="000000" w:themeColor="text1"/>
              </w:rPr>
              <w:t>3.7%</w:t>
            </w:r>
          </w:p>
        </w:tc>
      </w:tr>
      <w:tr w:rsidR="714252C5" w:rsidTr="714252C5" w14:paraId="6D7F83A6"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40A3CE01" w14:textId="470BEE9D">
            <w:proofErr w:type="gramStart"/>
            <w:r w:rsidRPr="714252C5">
              <w:rPr>
                <w:rFonts w:ascii="Calibri" w:hAnsi="Calibri" w:eastAsia="Calibri" w:cs="Calibri"/>
                <w:color w:val="000000" w:themeColor="text1"/>
              </w:rPr>
              <w:t>Transformation  Technology</w:t>
            </w:r>
            <w:proofErr w:type="gramEnd"/>
            <w:r w:rsidRPr="714252C5">
              <w:rPr>
                <w:rFonts w:ascii="Calibri" w:hAnsi="Calibri" w:eastAsia="Calibri" w:cs="Calibri"/>
                <w:color w:val="000000" w:themeColor="text1"/>
              </w:rPr>
              <w:t xml:space="preserve"> Holding Accounts</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27754B83" w14:textId="48BC89A4">
            <w:r w:rsidRPr="714252C5">
              <w:rPr>
                <w:rFonts w:ascii="Calibri" w:hAnsi="Calibri" w:eastAsia="Calibri" w:cs="Calibri"/>
                <w:color w:val="000000" w:themeColor="text1"/>
              </w:rPr>
              <w:t>£1,184.60</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91B16DA" w14:textId="2F9DC49A">
            <w:r w:rsidRPr="714252C5">
              <w:rPr>
                <w:rFonts w:ascii="Calibri" w:hAnsi="Calibri" w:eastAsia="Calibri" w:cs="Calibri"/>
                <w:color w:val="000000" w:themeColor="text1"/>
              </w:rPr>
              <w:t>1.0%</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7718A65F" w14:textId="6A2546DB">
            <w:r w:rsidRPr="714252C5">
              <w:rPr>
                <w:rFonts w:ascii="Calibri" w:hAnsi="Calibri" w:eastAsia="Calibri" w:cs="Calibri"/>
                <w:color w:val="000000" w:themeColor="text1"/>
              </w:rPr>
              <w:t>15</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ED0E05D" w14:textId="0D7CE7AF">
            <w:r w:rsidRPr="714252C5">
              <w:rPr>
                <w:rFonts w:ascii="Calibri" w:hAnsi="Calibri" w:eastAsia="Calibri" w:cs="Calibri"/>
                <w:color w:val="000000" w:themeColor="text1"/>
              </w:rPr>
              <w:t>1.6%</w:t>
            </w:r>
          </w:p>
        </w:tc>
      </w:tr>
      <w:tr w:rsidR="714252C5" w:rsidTr="714252C5" w14:paraId="564B3EBD" w14:textId="77777777">
        <w:trPr>
          <w:trHeight w:val="285"/>
        </w:trPr>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216CA78E" w14:textId="2117C603">
            <w:r w:rsidRPr="714252C5">
              <w:rPr>
                <w:rFonts w:ascii="Calibri" w:hAnsi="Calibri" w:eastAsia="Calibri" w:cs="Calibri"/>
                <w:color w:val="000000" w:themeColor="text1"/>
              </w:rPr>
              <w:t>Environmental Initiatives</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70483380" w14:textId="7CC51B0E">
            <w:r w:rsidRPr="714252C5">
              <w:rPr>
                <w:rFonts w:ascii="Calibri" w:hAnsi="Calibri" w:eastAsia="Calibri" w:cs="Calibri"/>
                <w:color w:val="000000" w:themeColor="text1"/>
              </w:rPr>
              <w:t>£1,103.29</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38D7967B" w14:textId="1E945D13">
            <w:r w:rsidRPr="714252C5">
              <w:rPr>
                <w:rFonts w:ascii="Calibri" w:hAnsi="Calibri" w:eastAsia="Calibri" w:cs="Calibri"/>
                <w:color w:val="000000" w:themeColor="text1"/>
              </w:rPr>
              <w:t>0.9%</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3186C07C" w14:textId="05E1BBD7">
            <w:r w:rsidRPr="714252C5">
              <w:rPr>
                <w:rFonts w:ascii="Calibri" w:hAnsi="Calibri" w:eastAsia="Calibri" w:cs="Calibri"/>
                <w:color w:val="000000" w:themeColor="text1"/>
              </w:rPr>
              <w:t>2</w:t>
            </w:r>
          </w:p>
        </w:tc>
        <w:tc>
          <w:tcPr>
            <w:tcW w:w="1803" w:type="dxa"/>
            <w:tcBorders>
              <w:top w:val="nil"/>
              <w:left w:val="nil"/>
              <w:bottom w:val="nil"/>
              <w:right w:val="nil"/>
            </w:tcBorders>
            <w:shd w:val="clear" w:color="auto" w:fill="DDEBF7"/>
            <w:tcMar>
              <w:top w:w="15" w:type="dxa"/>
              <w:left w:w="15" w:type="dxa"/>
              <w:right w:w="15" w:type="dxa"/>
            </w:tcMar>
            <w:vAlign w:val="bottom"/>
          </w:tcPr>
          <w:p w:rsidR="714252C5" w:rsidP="714252C5" w:rsidRDefault="714252C5" w14:paraId="2267322D" w14:textId="64B1CD50">
            <w:r w:rsidRPr="714252C5">
              <w:rPr>
                <w:rFonts w:ascii="Calibri" w:hAnsi="Calibri" w:eastAsia="Calibri" w:cs="Calibri"/>
                <w:color w:val="000000" w:themeColor="text1"/>
              </w:rPr>
              <w:t>0.2%</w:t>
            </w:r>
          </w:p>
        </w:tc>
      </w:tr>
      <w:tr w:rsidR="714252C5" w:rsidTr="714252C5" w14:paraId="1924C544" w14:textId="77777777">
        <w:trPr>
          <w:trHeight w:val="285"/>
        </w:trPr>
        <w:tc>
          <w:tcPr>
            <w:tcW w:w="1803" w:type="dxa"/>
            <w:tcBorders>
              <w:top w:val="nil"/>
              <w:left w:val="nil"/>
              <w:bottom w:val="nil"/>
              <w:right w:val="nil"/>
            </w:tcBorders>
            <w:tcMar>
              <w:top w:w="15" w:type="dxa"/>
              <w:left w:w="15" w:type="dxa"/>
              <w:right w:w="15" w:type="dxa"/>
            </w:tcMar>
            <w:vAlign w:val="bottom"/>
          </w:tcPr>
          <w:p w:rsidR="714252C5" w:rsidP="714252C5" w:rsidRDefault="714252C5" w14:paraId="6EAAFFE7" w14:textId="1E10D3E0">
            <w:r w:rsidRPr="714252C5">
              <w:rPr>
                <w:rFonts w:ascii="Calibri" w:hAnsi="Calibri" w:eastAsia="Calibri" w:cs="Calibri"/>
                <w:color w:val="000000" w:themeColor="text1"/>
              </w:rPr>
              <w:t xml:space="preserve">Family </w:t>
            </w:r>
            <w:proofErr w:type="spellStart"/>
            <w:r w:rsidRPr="714252C5">
              <w:rPr>
                <w:rFonts w:ascii="Calibri" w:hAnsi="Calibri" w:eastAsia="Calibri" w:cs="Calibri"/>
                <w:color w:val="000000" w:themeColor="text1"/>
              </w:rPr>
              <w:t>Servs</w:t>
            </w:r>
            <w:proofErr w:type="spellEnd"/>
            <w:r w:rsidRPr="714252C5">
              <w:rPr>
                <w:rFonts w:ascii="Calibri" w:hAnsi="Calibri" w:eastAsia="Calibri" w:cs="Calibri"/>
                <w:color w:val="000000" w:themeColor="text1"/>
              </w:rPr>
              <w:t xml:space="preserve"> &amp; Child </w:t>
            </w:r>
            <w:proofErr w:type="spellStart"/>
            <w:r w:rsidRPr="714252C5">
              <w:rPr>
                <w:rFonts w:ascii="Calibri" w:hAnsi="Calibri" w:eastAsia="Calibri" w:cs="Calibri"/>
                <w:color w:val="000000" w:themeColor="text1"/>
              </w:rPr>
              <w:t>Protect`n</w:t>
            </w:r>
            <w:proofErr w:type="spellEnd"/>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121882F7" w14:textId="3A16548D">
            <w:r w:rsidRPr="714252C5">
              <w:rPr>
                <w:rFonts w:ascii="Calibri" w:hAnsi="Calibri" w:eastAsia="Calibri" w:cs="Calibri"/>
                <w:color w:val="000000" w:themeColor="text1"/>
              </w:rPr>
              <w:t>£1,001.34</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63E434FF" w14:textId="396A2037">
            <w:r w:rsidRPr="714252C5">
              <w:rPr>
                <w:rFonts w:ascii="Calibri" w:hAnsi="Calibri" w:eastAsia="Calibri" w:cs="Calibri"/>
                <w:color w:val="000000" w:themeColor="text1"/>
              </w:rPr>
              <w:t>0.8%</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28642303" w14:textId="7FA73FDE">
            <w:r w:rsidRPr="714252C5">
              <w:rPr>
                <w:rFonts w:ascii="Calibri" w:hAnsi="Calibri" w:eastAsia="Calibri" w:cs="Calibri"/>
                <w:color w:val="000000" w:themeColor="text1"/>
              </w:rPr>
              <w:t>9</w:t>
            </w:r>
          </w:p>
        </w:tc>
        <w:tc>
          <w:tcPr>
            <w:tcW w:w="1803" w:type="dxa"/>
            <w:tcBorders>
              <w:top w:val="nil"/>
              <w:left w:val="nil"/>
              <w:bottom w:val="nil"/>
              <w:right w:val="nil"/>
            </w:tcBorders>
            <w:tcMar>
              <w:top w:w="15" w:type="dxa"/>
              <w:left w:w="15" w:type="dxa"/>
              <w:right w:w="15" w:type="dxa"/>
            </w:tcMar>
            <w:vAlign w:val="bottom"/>
          </w:tcPr>
          <w:p w:rsidR="714252C5" w:rsidP="714252C5" w:rsidRDefault="714252C5" w14:paraId="50D98C9B" w14:textId="246DDF65">
            <w:r w:rsidRPr="714252C5">
              <w:rPr>
                <w:rFonts w:ascii="Calibri" w:hAnsi="Calibri" w:eastAsia="Calibri" w:cs="Calibri"/>
                <w:color w:val="000000" w:themeColor="text1"/>
              </w:rPr>
              <w:t>1.0%</w:t>
            </w:r>
          </w:p>
        </w:tc>
      </w:tr>
    </w:tbl>
    <w:p w:rsidR="00C8194B" w:rsidP="714252C5" w:rsidRDefault="00C8194B" w14:paraId="72970CE8" w14:textId="53A84D0F">
      <w:pPr>
        <w:pStyle w:val="ListParagraph"/>
        <w:ind w:left="0"/>
        <w:rPr>
          <w:rFonts w:ascii="Arial" w:hAnsi="Arial" w:cs="Arial"/>
          <w:sz w:val="20"/>
          <w:szCs w:val="20"/>
        </w:rPr>
      </w:pPr>
    </w:p>
    <w:p w:rsidR="00C8194B" w:rsidP="714252C5" w:rsidRDefault="63EDF2EB" w14:paraId="1359ECE8" w14:textId="3A537FB4">
      <w:pPr>
        <w:pStyle w:val="ListParagraph"/>
        <w:ind w:left="0"/>
        <w:rPr>
          <w:rFonts w:ascii="Arial" w:hAnsi="Arial" w:cs="Arial"/>
          <w:sz w:val="20"/>
          <w:szCs w:val="20"/>
        </w:rPr>
      </w:pPr>
      <w:r w:rsidRPr="71E49B66">
        <w:rPr>
          <w:rFonts w:ascii="Arial" w:hAnsi="Arial" w:cs="Arial"/>
          <w:sz w:val="20"/>
          <w:szCs w:val="20"/>
        </w:rPr>
        <w:t>A greater understanding of P-Card usage, especially</w:t>
      </w:r>
      <w:r w:rsidRPr="71E49B66" w:rsidR="34803445">
        <w:rPr>
          <w:rFonts w:ascii="Arial" w:hAnsi="Arial" w:cs="Arial"/>
          <w:sz w:val="20"/>
          <w:szCs w:val="20"/>
        </w:rPr>
        <w:t xml:space="preserve"> in areas</w:t>
      </w:r>
      <w:r w:rsidRPr="71E49B66">
        <w:rPr>
          <w:rFonts w:ascii="Arial" w:hAnsi="Arial" w:cs="Arial"/>
          <w:sz w:val="20"/>
          <w:szCs w:val="20"/>
        </w:rPr>
        <w:t xml:space="preserve"> with particularly high volumes and high value spend should be considered to ensure they are being used correctly. Identifying the numbers of cards, who are using th</w:t>
      </w:r>
      <w:r w:rsidRPr="71E49B66" w:rsidR="3C06F288">
        <w:rPr>
          <w:rFonts w:ascii="Arial" w:hAnsi="Arial" w:cs="Arial"/>
          <w:sz w:val="20"/>
          <w:szCs w:val="20"/>
        </w:rPr>
        <w:t xml:space="preserve">em and for what purposes should support a hypothesis that savings can be made in their usage if the correct procurement route is used </w:t>
      </w:r>
      <w:r w:rsidRPr="71E49B66" w:rsidR="0C9E6635">
        <w:rPr>
          <w:rFonts w:ascii="Arial" w:hAnsi="Arial" w:cs="Arial"/>
          <w:sz w:val="20"/>
          <w:szCs w:val="20"/>
        </w:rPr>
        <w:t>to procure lower valued goods and services.</w:t>
      </w:r>
    </w:p>
    <w:p w:rsidR="71E49B66" w:rsidP="71E49B66" w:rsidRDefault="71E49B66" w14:paraId="5B58F87B" w14:textId="1EE8ACE7">
      <w:pPr>
        <w:pStyle w:val="ListParagraph"/>
        <w:ind w:left="0"/>
        <w:rPr>
          <w:rFonts w:ascii="Arial" w:hAnsi="Arial" w:cs="Arial"/>
          <w:sz w:val="20"/>
          <w:szCs w:val="20"/>
        </w:rPr>
      </w:pPr>
    </w:p>
    <w:p w:rsidR="4722FE73" w:rsidP="5F77973C" w:rsidRDefault="4722FE73" w14:paraId="01708AC0" w14:textId="28F41769">
      <w:pPr>
        <w:pStyle w:val="ListParagraph"/>
        <w:ind w:left="0"/>
        <w:rPr>
          <w:rFonts w:ascii="Arial" w:hAnsi="Arial" w:cs="Arial"/>
          <w:b/>
          <w:bCs/>
          <w:sz w:val="20"/>
          <w:szCs w:val="20"/>
        </w:rPr>
      </w:pPr>
      <w:r w:rsidRPr="5F77973C">
        <w:rPr>
          <w:rFonts w:ascii="Arial" w:hAnsi="Arial" w:cs="Arial"/>
          <w:b/>
          <w:bCs/>
          <w:sz w:val="20"/>
          <w:szCs w:val="20"/>
        </w:rPr>
        <w:t>Savings Opportunities</w:t>
      </w:r>
    </w:p>
    <w:p w:rsidR="5F77973C" w:rsidP="5F77973C" w:rsidRDefault="5F77973C" w14:paraId="00F90947" w14:textId="628038F2">
      <w:pPr>
        <w:pStyle w:val="ListParagraph"/>
        <w:ind w:left="0"/>
        <w:rPr>
          <w:rFonts w:ascii="Arial" w:hAnsi="Arial" w:cs="Arial"/>
          <w:sz w:val="20"/>
          <w:szCs w:val="20"/>
        </w:rPr>
      </w:pPr>
    </w:p>
    <w:p w:rsidR="4722FE73" w:rsidP="5F77973C" w:rsidRDefault="4722FE73" w14:paraId="6098562E" w14:textId="577036BC">
      <w:pPr>
        <w:pStyle w:val="ListParagraph"/>
        <w:ind w:left="0"/>
        <w:rPr>
          <w:rFonts w:ascii="Arial" w:hAnsi="Arial" w:cs="Arial"/>
          <w:sz w:val="20"/>
          <w:szCs w:val="20"/>
        </w:rPr>
      </w:pPr>
      <w:r w:rsidRPr="5F77973C">
        <w:rPr>
          <w:rFonts w:ascii="Arial" w:hAnsi="Arial" w:cs="Arial"/>
          <w:sz w:val="20"/>
          <w:szCs w:val="20"/>
        </w:rPr>
        <w:t>We have reviewed the potential contract savings using the general fund third party expenditure with a conservative estimation of a 2% achievable saving. 2% is a re</w:t>
      </w:r>
      <w:r w:rsidRPr="5F77973C" w:rsidR="6169F576">
        <w:rPr>
          <w:rFonts w:ascii="Arial" w:hAnsi="Arial" w:cs="Arial"/>
          <w:sz w:val="20"/>
          <w:szCs w:val="20"/>
        </w:rPr>
        <w:t xml:space="preserve">latively low estimation of the potential savings as contracts are not being managed to an optimum </w:t>
      </w:r>
      <w:r w:rsidRPr="5F77973C" w:rsidR="0E607D84">
        <w:rPr>
          <w:rFonts w:ascii="Arial" w:hAnsi="Arial" w:cs="Arial"/>
          <w:sz w:val="20"/>
          <w:szCs w:val="20"/>
        </w:rPr>
        <w:t>maturity level, therefore we can also consider other savings opportunities to illustrate how, with an increased contract management m</w:t>
      </w:r>
      <w:r w:rsidRPr="5F77973C" w:rsidR="76CFBC1D">
        <w:rPr>
          <w:rFonts w:ascii="Arial" w:hAnsi="Arial" w:cs="Arial"/>
          <w:sz w:val="20"/>
          <w:szCs w:val="20"/>
        </w:rPr>
        <w:t>aturity more value can be levered with suppliers</w:t>
      </w:r>
      <w:r w:rsidRPr="5F77973C" w:rsidR="495501EE">
        <w:rPr>
          <w:rFonts w:ascii="Arial" w:hAnsi="Arial" w:cs="Arial"/>
          <w:sz w:val="20"/>
          <w:szCs w:val="20"/>
        </w:rPr>
        <w:t xml:space="preserve"> The table below shows only the opportunities within the general fund</w:t>
      </w:r>
      <w:r w:rsidRPr="5F77973C" w:rsidR="5B8E99F0">
        <w:rPr>
          <w:rFonts w:ascii="Arial" w:hAnsi="Arial" w:cs="Arial"/>
          <w:sz w:val="20"/>
          <w:szCs w:val="20"/>
        </w:rPr>
        <w:t xml:space="preserve"> for illustrative purposes only to demonstrate the size of opportunity through transformation of contract management</w:t>
      </w:r>
      <w:r w:rsidRPr="5F77973C" w:rsidR="4C52CC71">
        <w:rPr>
          <w:rFonts w:ascii="Arial" w:hAnsi="Arial" w:cs="Arial"/>
          <w:sz w:val="20"/>
          <w:szCs w:val="20"/>
        </w:rPr>
        <w:t xml:space="preserve"> practice</w:t>
      </w:r>
      <w:r w:rsidRPr="5F77973C" w:rsidR="5B8E99F0">
        <w:rPr>
          <w:rFonts w:ascii="Arial" w:hAnsi="Arial" w:cs="Arial"/>
          <w:sz w:val="20"/>
          <w:szCs w:val="20"/>
        </w:rPr>
        <w:t>:</w:t>
      </w:r>
    </w:p>
    <w:p w:rsidR="5F77973C" w:rsidP="5F77973C" w:rsidRDefault="5F77973C" w14:paraId="6E0A9074" w14:textId="4A6F059F">
      <w:pPr>
        <w:pStyle w:val="ListParagraph"/>
        <w:ind w:left="0"/>
        <w:rPr>
          <w:rFonts w:ascii="Arial" w:hAnsi="Arial" w:cs="Arial"/>
          <w:sz w:val="20"/>
          <w:szCs w:val="20"/>
        </w:rPr>
      </w:pPr>
    </w:p>
    <w:tbl>
      <w:tblPr>
        <w:tblW w:w="0" w:type="auto"/>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5F77973C" w:rsidTr="5F77973C" w14:paraId="7D1C6857"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4CECB1FF" w14:textId="6BF11EDD">
            <w:r w:rsidRPr="5F77973C">
              <w:rPr>
                <w:rFonts w:ascii="Calibri" w:hAnsi="Calibri" w:eastAsia="Calibri" w:cs="Calibri"/>
                <w:b/>
                <w:bCs/>
                <w:color w:val="000000" w:themeColor="text1"/>
                <w:sz w:val="20"/>
                <w:szCs w:val="20"/>
              </w:rPr>
              <w:t xml:space="preserve">Year </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53BF9777" w14:textId="243B469F">
            <w:r w:rsidRPr="5F77973C">
              <w:rPr>
                <w:rFonts w:ascii="Calibri" w:hAnsi="Calibri" w:eastAsia="Calibri" w:cs="Calibri"/>
                <w:b/>
                <w:bCs/>
                <w:color w:val="000000" w:themeColor="text1"/>
                <w:sz w:val="20"/>
                <w:szCs w:val="20"/>
              </w:rPr>
              <w:t>1</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RDefault="5F77973C" w14:paraId="0167F37C" w14:textId="3BFA8837"/>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78B27BC6" w14:textId="6C934652">
            <w:r w:rsidRPr="5F77973C">
              <w:rPr>
                <w:rFonts w:ascii="Calibri" w:hAnsi="Calibri" w:eastAsia="Calibri" w:cs="Calibri"/>
                <w:b/>
                <w:bCs/>
                <w:color w:val="000000" w:themeColor="text1"/>
                <w:sz w:val="20"/>
                <w:szCs w:val="20"/>
              </w:rPr>
              <w:t>2</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RDefault="5F77973C" w14:paraId="395302B1" w14:textId="4E888E83"/>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30751005" w14:textId="556A84F2">
            <w:r w:rsidRPr="5F77973C">
              <w:rPr>
                <w:rFonts w:ascii="Calibri" w:hAnsi="Calibri" w:eastAsia="Calibri" w:cs="Calibri"/>
                <w:b/>
                <w:bCs/>
                <w:color w:val="000000" w:themeColor="text1"/>
                <w:sz w:val="20"/>
                <w:szCs w:val="20"/>
              </w:rPr>
              <w:t>3</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RDefault="5F77973C" w14:paraId="41019E94" w14:textId="7B341771"/>
        </w:tc>
        <w:tc>
          <w:tcPr>
            <w:tcW w:w="200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1896E26F" w14:textId="4799802D">
            <w:pPr>
              <w:jc w:val="center"/>
            </w:pPr>
            <w:r w:rsidRPr="5F77973C">
              <w:rPr>
                <w:rFonts w:ascii="Calibri" w:hAnsi="Calibri" w:eastAsia="Calibri" w:cs="Calibri"/>
                <w:b/>
                <w:bCs/>
                <w:color w:val="000000" w:themeColor="text1"/>
                <w:sz w:val="20"/>
                <w:szCs w:val="20"/>
              </w:rPr>
              <w:t>Total GF Savings</w:t>
            </w:r>
          </w:p>
        </w:tc>
      </w:tr>
      <w:tr w:rsidR="5F77973C" w:rsidTr="5F77973C" w14:paraId="08077019"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397A5163" w14:textId="19330350">
            <w:r w:rsidRPr="5F77973C">
              <w:rPr>
                <w:rFonts w:ascii="Calibri" w:hAnsi="Calibri" w:eastAsia="Calibri" w:cs="Calibri"/>
                <w:b/>
                <w:bCs/>
                <w:color w:val="000000" w:themeColor="text1"/>
                <w:sz w:val="20"/>
                <w:szCs w:val="20"/>
              </w:rPr>
              <w:t>General Fund</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3B389084" w14:textId="69920B13">
            <w:r w:rsidRPr="5F77973C">
              <w:rPr>
                <w:rFonts w:ascii="Calibri" w:hAnsi="Calibri" w:eastAsia="Calibri" w:cs="Calibri"/>
                <w:b/>
                <w:bCs/>
                <w:color w:val="000000" w:themeColor="text1"/>
                <w:sz w:val="20"/>
                <w:szCs w:val="20"/>
              </w:rPr>
              <w:t>Cost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35499AF2" w14:textId="6AE7D05A">
            <w:r w:rsidRPr="5F77973C">
              <w:rPr>
                <w:rFonts w:ascii="Calibri" w:hAnsi="Calibri" w:eastAsia="Calibri" w:cs="Calibri"/>
                <w:b/>
                <w:bCs/>
                <w:color w:val="000000" w:themeColor="text1"/>
                <w:sz w:val="20"/>
                <w:szCs w:val="20"/>
              </w:rPr>
              <w:t>Budget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23A60D0A" w14:textId="060959CC">
            <w:r w:rsidRPr="5F77973C">
              <w:rPr>
                <w:rFonts w:ascii="Calibri" w:hAnsi="Calibri" w:eastAsia="Calibri" w:cs="Calibri"/>
                <w:b/>
                <w:bCs/>
                <w:color w:val="000000" w:themeColor="text1"/>
                <w:sz w:val="20"/>
                <w:szCs w:val="20"/>
              </w:rPr>
              <w:t>Cost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7E27506A" w14:textId="61F8E4E3">
            <w:r w:rsidRPr="5F77973C">
              <w:rPr>
                <w:rFonts w:ascii="Calibri" w:hAnsi="Calibri" w:eastAsia="Calibri" w:cs="Calibri"/>
                <w:b/>
                <w:bCs/>
                <w:color w:val="000000" w:themeColor="text1"/>
                <w:sz w:val="20"/>
                <w:szCs w:val="20"/>
              </w:rPr>
              <w:t>Budget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5A70EC87" w14:textId="00A8B83E">
            <w:r w:rsidRPr="5F77973C">
              <w:rPr>
                <w:rFonts w:ascii="Calibri" w:hAnsi="Calibri" w:eastAsia="Calibri" w:cs="Calibri"/>
                <w:b/>
                <w:bCs/>
                <w:color w:val="000000" w:themeColor="text1"/>
                <w:sz w:val="20"/>
                <w:szCs w:val="20"/>
              </w:rPr>
              <w:t>Cost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57001702" w14:textId="06C7E428">
            <w:r w:rsidRPr="5F77973C">
              <w:rPr>
                <w:rFonts w:ascii="Calibri" w:hAnsi="Calibri" w:eastAsia="Calibri" w:cs="Calibri"/>
                <w:b/>
                <w:bCs/>
                <w:color w:val="000000" w:themeColor="text1"/>
                <w:sz w:val="20"/>
                <w:szCs w:val="20"/>
              </w:rPr>
              <w:t>Budget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50E8957D" w14:textId="64BE3A18">
            <w:r w:rsidRPr="5F77973C">
              <w:rPr>
                <w:rFonts w:ascii="Calibri" w:hAnsi="Calibri" w:eastAsia="Calibri" w:cs="Calibri"/>
                <w:b/>
                <w:bCs/>
                <w:color w:val="000000" w:themeColor="text1"/>
                <w:sz w:val="20"/>
                <w:szCs w:val="20"/>
              </w:rPr>
              <w:t>Cost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5C15483A" w14:textId="5B9FC302">
            <w:r w:rsidRPr="5F77973C">
              <w:rPr>
                <w:rFonts w:ascii="Calibri" w:hAnsi="Calibri" w:eastAsia="Calibri" w:cs="Calibri"/>
                <w:b/>
                <w:bCs/>
                <w:color w:val="000000" w:themeColor="text1"/>
                <w:sz w:val="20"/>
                <w:szCs w:val="20"/>
              </w:rPr>
              <w:t>Budget Savings</w:t>
            </w:r>
          </w:p>
        </w:tc>
      </w:tr>
      <w:tr w:rsidR="5F77973C" w:rsidTr="5F77973C" w14:paraId="0A99FEFF"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2F76E9AA" w14:textId="1FBDA687"/>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11DE0CCB" w14:textId="096367E8"/>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346889DD" w14:textId="0A5D25DA"/>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7C44C618" w14:textId="0AFADD1A"/>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14E2FDD9" w14:textId="5F3AAA73"/>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5552D6FF" w14:textId="62D2FD85"/>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5878DF1E" w14:textId="006D38D9"/>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193140A4" w14:textId="56B7DF09"/>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6F5C10CC" w14:textId="5BCEC4D7"/>
        </w:tc>
      </w:tr>
      <w:tr w:rsidR="5F77973C" w:rsidTr="5F77973C" w14:paraId="33B96B62"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6DF6B52A" w14:textId="3F5CC526">
            <w:r w:rsidRPr="5F77973C">
              <w:rPr>
                <w:rFonts w:ascii="Calibri" w:hAnsi="Calibri" w:eastAsia="Calibri" w:cs="Calibri"/>
                <w:color w:val="000000" w:themeColor="text1"/>
                <w:sz w:val="20"/>
                <w:szCs w:val="20"/>
              </w:rPr>
              <w:t>2%</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13D4C1BD" w14:textId="6B5FC1B7">
            <w:r w:rsidRPr="5F77973C">
              <w:rPr>
                <w:rFonts w:ascii="Calibri" w:hAnsi="Calibri" w:eastAsia="Calibri" w:cs="Calibri"/>
                <w:color w:val="000000" w:themeColor="text1"/>
                <w:sz w:val="20"/>
                <w:szCs w:val="20"/>
              </w:rPr>
              <w:t>1,245,353</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3896F42" w14:textId="4EBFF217">
            <w:r w:rsidRPr="5F77973C">
              <w:rPr>
                <w:rFonts w:ascii="Calibri" w:hAnsi="Calibri" w:eastAsia="Calibri" w:cs="Calibri"/>
                <w:color w:val="000000" w:themeColor="text1"/>
                <w:sz w:val="20"/>
                <w:szCs w:val="20"/>
              </w:rPr>
              <w:t>1,120,183</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47D5D760" w14:textId="55FE57FA">
            <w:r w:rsidRPr="5F77973C">
              <w:rPr>
                <w:rFonts w:ascii="Calibri" w:hAnsi="Calibri" w:eastAsia="Calibri" w:cs="Calibri"/>
                <w:color w:val="000000" w:themeColor="text1"/>
                <w:sz w:val="20"/>
                <w:szCs w:val="20"/>
              </w:rPr>
              <w:t>1,220,446</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3B7B6D05" w14:textId="77B1D856">
            <w:r w:rsidRPr="5F77973C">
              <w:rPr>
                <w:rFonts w:ascii="Calibri" w:hAnsi="Calibri" w:eastAsia="Calibri" w:cs="Calibri"/>
                <w:color w:val="000000" w:themeColor="text1"/>
                <w:sz w:val="20"/>
                <w:szCs w:val="20"/>
              </w:rPr>
              <w:t>1,097,780</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E22FA01" w14:textId="040D412C">
            <w:r w:rsidRPr="5F77973C">
              <w:rPr>
                <w:rFonts w:ascii="Calibri" w:hAnsi="Calibri" w:eastAsia="Calibri" w:cs="Calibri"/>
                <w:color w:val="000000" w:themeColor="text1"/>
                <w:sz w:val="20"/>
                <w:szCs w:val="20"/>
              </w:rPr>
              <w:t>1,196,037</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71077038" w14:textId="2ECD57B1">
            <w:r w:rsidRPr="5F77973C">
              <w:rPr>
                <w:rFonts w:ascii="Calibri" w:hAnsi="Calibri" w:eastAsia="Calibri" w:cs="Calibri"/>
                <w:color w:val="000000" w:themeColor="text1"/>
                <w:sz w:val="20"/>
                <w:szCs w:val="20"/>
              </w:rPr>
              <w:t>1,075,824</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6E2457BE" w14:textId="097E9CBB">
            <w:r w:rsidRPr="5F77973C">
              <w:rPr>
                <w:rFonts w:ascii="Calibri" w:hAnsi="Calibri" w:eastAsia="Calibri" w:cs="Calibri"/>
                <w:b/>
                <w:bCs/>
                <w:color w:val="000000" w:themeColor="text1"/>
                <w:sz w:val="20"/>
                <w:szCs w:val="20"/>
              </w:rPr>
              <w:t>3,661,836</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7A966860" w14:textId="552F16FD">
            <w:r w:rsidRPr="5F77973C">
              <w:rPr>
                <w:rFonts w:ascii="Calibri" w:hAnsi="Calibri" w:eastAsia="Calibri" w:cs="Calibri"/>
                <w:b/>
                <w:bCs/>
                <w:color w:val="000000" w:themeColor="text1"/>
                <w:sz w:val="20"/>
                <w:szCs w:val="20"/>
              </w:rPr>
              <w:t>3,293,787</w:t>
            </w:r>
          </w:p>
        </w:tc>
      </w:tr>
      <w:tr w:rsidR="5F77973C" w:rsidTr="5F77973C" w14:paraId="4847DCE3"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41692B3D" w14:textId="7466188A">
            <w:r w:rsidRPr="5F77973C">
              <w:rPr>
                <w:rFonts w:ascii="Calibri" w:hAnsi="Calibri" w:eastAsia="Calibri" w:cs="Calibri"/>
                <w:color w:val="000000" w:themeColor="text1"/>
                <w:sz w:val="20"/>
                <w:szCs w:val="20"/>
              </w:rPr>
              <w:t>4%</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630A82EA" w14:textId="77684494">
            <w:r w:rsidRPr="5F77973C">
              <w:rPr>
                <w:rFonts w:ascii="Calibri" w:hAnsi="Calibri" w:eastAsia="Calibri" w:cs="Calibri"/>
                <w:color w:val="000000" w:themeColor="text1"/>
                <w:sz w:val="20"/>
                <w:szCs w:val="20"/>
              </w:rPr>
              <w:t>2,490,706</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43D6E83" w14:textId="400AC0A1">
            <w:r w:rsidRPr="5F77973C">
              <w:rPr>
                <w:rFonts w:ascii="Calibri" w:hAnsi="Calibri" w:eastAsia="Calibri" w:cs="Calibri"/>
                <w:color w:val="000000" w:themeColor="text1"/>
                <w:sz w:val="20"/>
                <w:szCs w:val="20"/>
              </w:rPr>
              <w:t>2,240,367</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5A086275" w14:textId="0C930CF0">
            <w:r w:rsidRPr="5F77973C">
              <w:rPr>
                <w:rFonts w:ascii="Calibri" w:hAnsi="Calibri" w:eastAsia="Calibri" w:cs="Calibri"/>
                <w:color w:val="000000" w:themeColor="text1"/>
                <w:sz w:val="20"/>
                <w:szCs w:val="20"/>
              </w:rPr>
              <w:t>2,440,892</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55AC90A3" w14:textId="1783C85A">
            <w:pPr>
              <w:rPr>
                <w:rFonts w:ascii="Calibri" w:hAnsi="Calibri" w:eastAsia="Calibri" w:cs="Calibri"/>
                <w:color w:val="000000" w:themeColor="text1"/>
                <w:sz w:val="20"/>
                <w:szCs w:val="20"/>
              </w:rPr>
            </w:pPr>
            <w:r w:rsidRPr="5F77973C">
              <w:rPr>
                <w:rFonts w:ascii="Calibri" w:hAnsi="Calibri" w:eastAsia="Calibri" w:cs="Calibri"/>
                <w:color w:val="000000" w:themeColor="text1"/>
                <w:sz w:val="20"/>
                <w:szCs w:val="20"/>
              </w:rPr>
              <w:t>2,</w:t>
            </w:r>
            <w:r w:rsidRPr="5F77973C" w:rsidR="49A6EA1E">
              <w:rPr>
                <w:rFonts w:ascii="Calibri" w:hAnsi="Calibri" w:eastAsia="Calibri" w:cs="Calibri"/>
                <w:color w:val="000000" w:themeColor="text1"/>
                <w:sz w:val="20"/>
                <w:szCs w:val="20"/>
              </w:rPr>
              <w:t>195,560</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48B0A61" w14:textId="6EB7C671">
            <w:r w:rsidRPr="5F77973C">
              <w:rPr>
                <w:rFonts w:ascii="Calibri" w:hAnsi="Calibri" w:eastAsia="Calibri" w:cs="Calibri"/>
                <w:color w:val="000000" w:themeColor="text1"/>
                <w:sz w:val="20"/>
                <w:szCs w:val="20"/>
              </w:rPr>
              <w:t>2,343,256</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6AEC83C1" w14:textId="77C93E6D">
            <w:r w:rsidRPr="5F77973C">
              <w:rPr>
                <w:rFonts w:ascii="Calibri" w:hAnsi="Calibri" w:eastAsia="Calibri" w:cs="Calibri"/>
                <w:color w:val="000000" w:themeColor="text1"/>
                <w:sz w:val="20"/>
                <w:szCs w:val="20"/>
              </w:rPr>
              <w:t>2,097,924</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107A5E71" w14:textId="4AFBE8B7">
            <w:r w:rsidRPr="5F77973C">
              <w:rPr>
                <w:rFonts w:ascii="Calibri" w:hAnsi="Calibri" w:eastAsia="Calibri" w:cs="Calibri"/>
                <w:b/>
                <w:bCs/>
                <w:color w:val="000000" w:themeColor="text1"/>
                <w:sz w:val="20"/>
                <w:szCs w:val="20"/>
              </w:rPr>
              <w:t>7,274,854</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7F892272" w14:textId="6E2D4D0C">
            <w:pPr>
              <w:rPr>
                <w:rFonts w:ascii="Calibri" w:hAnsi="Calibri" w:eastAsia="Calibri" w:cs="Calibri"/>
                <w:b/>
                <w:bCs/>
                <w:color w:val="000000" w:themeColor="text1"/>
                <w:sz w:val="20"/>
                <w:szCs w:val="20"/>
              </w:rPr>
            </w:pPr>
            <w:r w:rsidRPr="5F77973C">
              <w:rPr>
                <w:rFonts w:ascii="Calibri" w:hAnsi="Calibri" w:eastAsia="Calibri" w:cs="Calibri"/>
                <w:b/>
                <w:bCs/>
                <w:color w:val="000000" w:themeColor="text1"/>
                <w:sz w:val="20"/>
                <w:szCs w:val="20"/>
              </w:rPr>
              <w:t>6,</w:t>
            </w:r>
            <w:r w:rsidRPr="5F77973C" w:rsidR="28F95CB7">
              <w:rPr>
                <w:rFonts w:ascii="Calibri" w:hAnsi="Calibri" w:eastAsia="Calibri" w:cs="Calibri"/>
                <w:b/>
                <w:bCs/>
                <w:color w:val="000000" w:themeColor="text1"/>
                <w:sz w:val="20"/>
                <w:szCs w:val="20"/>
              </w:rPr>
              <w:t>533,850</w:t>
            </w:r>
          </w:p>
        </w:tc>
      </w:tr>
      <w:tr w:rsidR="5F77973C" w:rsidTr="5F77973C" w14:paraId="2C629BAF"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1F845F05" w14:textId="1C747666">
            <w:r w:rsidRPr="5F77973C">
              <w:rPr>
                <w:rFonts w:ascii="Calibri" w:hAnsi="Calibri" w:eastAsia="Calibri" w:cs="Calibri"/>
                <w:color w:val="000000" w:themeColor="text1"/>
                <w:sz w:val="20"/>
                <w:szCs w:val="20"/>
              </w:rPr>
              <w:t>5%</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778EA9B" w14:textId="16B9967D">
            <w:r w:rsidRPr="5F77973C">
              <w:rPr>
                <w:rFonts w:ascii="Calibri" w:hAnsi="Calibri" w:eastAsia="Calibri" w:cs="Calibri"/>
                <w:color w:val="000000" w:themeColor="text1"/>
                <w:sz w:val="20"/>
                <w:szCs w:val="20"/>
              </w:rPr>
              <w:t>3,113,382</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FE5AEBA" w14:textId="15761A2B">
            <w:r w:rsidRPr="5F77973C">
              <w:rPr>
                <w:rFonts w:ascii="Calibri" w:hAnsi="Calibri" w:eastAsia="Calibri" w:cs="Calibri"/>
                <w:color w:val="000000" w:themeColor="text1"/>
                <w:sz w:val="20"/>
                <w:szCs w:val="20"/>
              </w:rPr>
              <w:t>2,800,459</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09608961" w14:textId="66C27506">
            <w:r w:rsidRPr="5F77973C">
              <w:rPr>
                <w:rFonts w:ascii="Calibri" w:hAnsi="Calibri" w:eastAsia="Calibri" w:cs="Calibri"/>
                <w:color w:val="000000" w:themeColor="text1"/>
                <w:sz w:val="20"/>
                <w:szCs w:val="20"/>
              </w:rPr>
              <w:t>3,051,115</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DC0EC04" w14:textId="4E7C8127">
            <w:r w:rsidRPr="5F77973C">
              <w:rPr>
                <w:rFonts w:ascii="Calibri" w:hAnsi="Calibri" w:eastAsia="Calibri" w:cs="Calibri"/>
                <w:color w:val="000000" w:themeColor="text1"/>
                <w:sz w:val="20"/>
                <w:szCs w:val="20"/>
              </w:rPr>
              <w:t>3,051,115</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C805884" w14:textId="113FFBE9">
            <w:r w:rsidRPr="5F77973C">
              <w:rPr>
                <w:rFonts w:ascii="Calibri" w:hAnsi="Calibri" w:eastAsia="Calibri" w:cs="Calibri"/>
                <w:color w:val="000000" w:themeColor="text1"/>
                <w:sz w:val="20"/>
                <w:szCs w:val="20"/>
              </w:rPr>
              <w:t>2,898,559</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91BF067" w14:textId="37304563">
            <w:r w:rsidRPr="5F77973C">
              <w:rPr>
                <w:rFonts w:ascii="Calibri" w:hAnsi="Calibri" w:eastAsia="Calibri" w:cs="Calibri"/>
                <w:color w:val="000000" w:themeColor="text1"/>
                <w:sz w:val="20"/>
                <w:szCs w:val="20"/>
              </w:rPr>
              <w:t>2,591,894</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4A49BBA" w14:textId="466BCF32">
            <w:r w:rsidRPr="5F77973C">
              <w:rPr>
                <w:rFonts w:ascii="Calibri" w:hAnsi="Calibri" w:eastAsia="Calibri" w:cs="Calibri"/>
                <w:b/>
                <w:bCs/>
                <w:color w:val="000000" w:themeColor="text1"/>
                <w:sz w:val="20"/>
                <w:szCs w:val="20"/>
              </w:rPr>
              <w:t>9,063,056</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3FE653BF" w14:textId="7BA88189">
            <w:r w:rsidRPr="5F77973C">
              <w:rPr>
                <w:rFonts w:ascii="Calibri" w:hAnsi="Calibri" w:eastAsia="Calibri" w:cs="Calibri"/>
                <w:b/>
                <w:bCs/>
                <w:color w:val="000000" w:themeColor="text1"/>
                <w:sz w:val="20"/>
                <w:szCs w:val="20"/>
              </w:rPr>
              <w:t>8,443,467</w:t>
            </w:r>
          </w:p>
        </w:tc>
      </w:tr>
      <w:tr w:rsidR="5F77973C" w:rsidTr="5F77973C" w14:paraId="6E8DF715"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A3C32EE" w14:textId="6FC9BC9F">
            <w:r w:rsidRPr="5F77973C">
              <w:rPr>
                <w:rFonts w:ascii="Calibri" w:hAnsi="Calibri" w:eastAsia="Calibri" w:cs="Calibri"/>
                <w:color w:val="000000" w:themeColor="text1"/>
                <w:sz w:val="20"/>
                <w:szCs w:val="20"/>
              </w:rPr>
              <w:t>10%</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63BF73C2" w14:textId="5A468926">
            <w:r w:rsidRPr="5F77973C">
              <w:rPr>
                <w:rFonts w:ascii="Calibri" w:hAnsi="Calibri" w:eastAsia="Calibri" w:cs="Calibri"/>
                <w:color w:val="000000" w:themeColor="text1"/>
                <w:sz w:val="20"/>
                <w:szCs w:val="20"/>
              </w:rPr>
              <w:t>6,226,765</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7132B4F8" w14:textId="206C02F4">
            <w:r w:rsidRPr="5F77973C">
              <w:rPr>
                <w:rFonts w:ascii="Calibri" w:hAnsi="Calibri" w:eastAsia="Calibri" w:cs="Calibri"/>
                <w:color w:val="000000" w:themeColor="text1"/>
                <w:sz w:val="20"/>
                <w:szCs w:val="20"/>
              </w:rPr>
              <w:t>5,600,917</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43FD5FA" w14:textId="6065C0F8">
            <w:r w:rsidRPr="5F77973C">
              <w:rPr>
                <w:rFonts w:ascii="Calibri" w:hAnsi="Calibri" w:eastAsia="Calibri" w:cs="Calibri"/>
                <w:color w:val="000000" w:themeColor="text1"/>
                <w:sz w:val="20"/>
                <w:szCs w:val="20"/>
              </w:rPr>
              <w:t>6,102,230</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59452133" w14:textId="27A23F41">
            <w:r w:rsidRPr="5F77973C">
              <w:rPr>
                <w:rFonts w:ascii="Calibri" w:hAnsi="Calibri" w:eastAsia="Calibri" w:cs="Calibri"/>
                <w:color w:val="000000" w:themeColor="text1"/>
                <w:sz w:val="20"/>
                <w:szCs w:val="20"/>
              </w:rPr>
              <w:t>6,102,230</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6DB68FCC" w14:textId="3B516636">
            <w:r w:rsidRPr="5F77973C">
              <w:rPr>
                <w:rFonts w:ascii="Calibri" w:hAnsi="Calibri" w:eastAsia="Calibri" w:cs="Calibri"/>
                <w:color w:val="000000" w:themeColor="text1"/>
                <w:sz w:val="20"/>
                <w:szCs w:val="20"/>
              </w:rPr>
              <w:t>5,492,007</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7F4D2494" w14:textId="43C75B99">
            <w:r w:rsidRPr="5F77973C">
              <w:rPr>
                <w:rFonts w:ascii="Calibri" w:hAnsi="Calibri" w:eastAsia="Calibri" w:cs="Calibri"/>
                <w:color w:val="000000" w:themeColor="text1"/>
                <w:sz w:val="20"/>
                <w:szCs w:val="20"/>
              </w:rPr>
              <w:t>4,878,676</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37C33C79" w14:textId="6F11BF03">
            <w:r w:rsidRPr="5F77973C">
              <w:rPr>
                <w:rFonts w:ascii="Calibri" w:hAnsi="Calibri" w:eastAsia="Calibri" w:cs="Calibri"/>
                <w:b/>
                <w:bCs/>
                <w:color w:val="000000" w:themeColor="text1"/>
                <w:sz w:val="20"/>
                <w:szCs w:val="20"/>
              </w:rPr>
              <w:t>17,821,001</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4D7DEB98" w14:textId="13B65CBB">
            <w:r w:rsidRPr="5F77973C">
              <w:rPr>
                <w:rFonts w:ascii="Calibri" w:hAnsi="Calibri" w:eastAsia="Calibri" w:cs="Calibri"/>
                <w:b/>
                <w:bCs/>
                <w:color w:val="000000" w:themeColor="text1"/>
                <w:sz w:val="20"/>
                <w:szCs w:val="20"/>
              </w:rPr>
              <w:t>16,581,823</w:t>
            </w:r>
          </w:p>
        </w:tc>
      </w:tr>
    </w:tbl>
    <w:p w:rsidR="5F77973C" w:rsidP="5F77973C" w:rsidRDefault="5F77973C" w14:paraId="707D02FF" w14:textId="379BE870">
      <w:pPr>
        <w:pStyle w:val="ListParagraph"/>
        <w:ind w:left="0"/>
        <w:rPr>
          <w:rFonts w:ascii="Arial" w:hAnsi="Arial" w:cs="Arial"/>
          <w:sz w:val="20"/>
          <w:szCs w:val="20"/>
        </w:rPr>
      </w:pPr>
    </w:p>
    <w:p w:rsidR="7884BDD4" w:rsidP="5F77973C" w:rsidRDefault="7884BDD4" w14:paraId="0208637E" w14:textId="63F7BABD">
      <w:pPr>
        <w:pStyle w:val="ListParagraph"/>
        <w:ind w:left="0"/>
        <w:rPr>
          <w:rFonts w:ascii="Arial" w:hAnsi="Arial" w:cs="Arial"/>
          <w:sz w:val="20"/>
          <w:szCs w:val="20"/>
        </w:rPr>
      </w:pPr>
      <w:r w:rsidRPr="5F77973C">
        <w:rPr>
          <w:rFonts w:ascii="Arial" w:hAnsi="Arial" w:cs="Arial"/>
          <w:sz w:val="20"/>
          <w:szCs w:val="20"/>
        </w:rPr>
        <w:t xml:space="preserve">As the contract management maturity will take time to train, develop, embed and realise savings opportunities through more effective supplier relationship management and value levering, we do not envisage in </w:t>
      </w:r>
      <w:r w:rsidRPr="5F77973C" w:rsidR="0DEA847C">
        <w:rPr>
          <w:rFonts w:ascii="Arial" w:hAnsi="Arial" w:cs="Arial"/>
          <w:sz w:val="20"/>
          <w:szCs w:val="20"/>
        </w:rPr>
        <w:t xml:space="preserve">24/25 there to be a larger than 2% saving achieved, however we would expect the savings to rise in subsequent years once maturity has been optimised, therefore </w:t>
      </w:r>
      <w:r w:rsidRPr="5F77973C" w:rsidR="401031B8">
        <w:rPr>
          <w:rFonts w:ascii="Arial" w:hAnsi="Arial" w:cs="Arial"/>
          <w:sz w:val="20"/>
          <w:szCs w:val="20"/>
        </w:rPr>
        <w:t>we would suggest that</w:t>
      </w:r>
      <w:r w:rsidRPr="5F77973C" w:rsidR="698C964D">
        <w:rPr>
          <w:rFonts w:ascii="Arial" w:hAnsi="Arial" w:cs="Arial"/>
          <w:sz w:val="20"/>
          <w:szCs w:val="20"/>
        </w:rPr>
        <w:t xml:space="preserve"> </w:t>
      </w:r>
      <w:r w:rsidRPr="5F77973C" w:rsidR="67B15571">
        <w:rPr>
          <w:rFonts w:ascii="Arial" w:hAnsi="Arial" w:cs="Arial"/>
          <w:sz w:val="20"/>
          <w:szCs w:val="20"/>
        </w:rPr>
        <w:t>as the maturity evolves year-on-year we could potentially achieve the following:</w:t>
      </w:r>
    </w:p>
    <w:p w:rsidR="5F77973C" w:rsidP="5F77973C" w:rsidRDefault="5F77973C" w14:paraId="76CB1B4D" w14:textId="4018D7B4">
      <w:pPr>
        <w:pStyle w:val="ListParagraph"/>
        <w:ind w:left="0"/>
        <w:rPr>
          <w:rFonts w:ascii="Arial" w:hAnsi="Arial" w:cs="Arial"/>
          <w:sz w:val="20"/>
          <w:szCs w:val="20"/>
        </w:rPr>
      </w:pPr>
    </w:p>
    <w:p w:rsidR="5F77973C" w:rsidP="5F77973C" w:rsidRDefault="5F77973C" w14:paraId="0D21CF7C" w14:textId="32F5C197">
      <w:pPr>
        <w:pStyle w:val="ListParagraph"/>
        <w:ind w:left="0"/>
        <w:rPr>
          <w:rFonts w:ascii="Arial" w:hAnsi="Arial" w:cs="Arial"/>
          <w:sz w:val="20"/>
          <w:szCs w:val="20"/>
        </w:rPr>
      </w:pPr>
    </w:p>
    <w:p w:rsidR="5F77973C" w:rsidP="5F77973C" w:rsidRDefault="5F77973C" w14:paraId="33605BE8" w14:textId="28E64469">
      <w:pPr>
        <w:pStyle w:val="ListParagraph"/>
        <w:ind w:left="0"/>
        <w:rPr>
          <w:rFonts w:ascii="Arial" w:hAnsi="Arial" w:cs="Arial"/>
          <w:sz w:val="20"/>
          <w:szCs w:val="20"/>
        </w:rPr>
      </w:pPr>
    </w:p>
    <w:p w:rsidR="0869487A" w:rsidP="0869487A" w:rsidRDefault="0869487A" w14:paraId="54F68543" w14:textId="0522D97D">
      <w:pPr>
        <w:pStyle w:val="ListParagraph"/>
        <w:ind w:left="0"/>
        <w:rPr>
          <w:rFonts w:ascii="Arial" w:hAnsi="Arial" w:cs="Arial"/>
          <w:sz w:val="20"/>
          <w:szCs w:val="20"/>
        </w:rPr>
      </w:pPr>
    </w:p>
    <w:p w:rsidR="5F77973C" w:rsidP="5F77973C" w:rsidRDefault="5F77973C" w14:paraId="2C4992C6" w14:textId="17E84BA4">
      <w:pPr>
        <w:pStyle w:val="ListParagraph"/>
        <w:ind w:left="0"/>
        <w:rPr>
          <w:rFonts w:ascii="Arial" w:hAnsi="Arial" w:cs="Arial"/>
          <w:sz w:val="20"/>
          <w:szCs w:val="20"/>
        </w:rPr>
      </w:pPr>
    </w:p>
    <w:tbl>
      <w:tblPr>
        <w:tblW w:w="0" w:type="auto"/>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5F77973C" w:rsidTr="5F77973C" w14:paraId="6E3B4FB4"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2B31930D" w14:textId="6A1E2E83">
            <w:r w:rsidRPr="5F77973C">
              <w:rPr>
                <w:rFonts w:ascii="Calibri" w:hAnsi="Calibri" w:eastAsia="Calibri" w:cs="Calibri"/>
                <w:b/>
                <w:bCs/>
                <w:color w:val="000000" w:themeColor="text1"/>
                <w:sz w:val="20"/>
                <w:szCs w:val="20"/>
              </w:rPr>
              <w:t xml:space="preserve">Year </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1624D1CE" w14:textId="3F328A52">
            <w:r w:rsidRPr="5F77973C">
              <w:rPr>
                <w:rFonts w:ascii="Calibri" w:hAnsi="Calibri" w:eastAsia="Calibri" w:cs="Calibri"/>
                <w:b/>
                <w:bCs/>
                <w:color w:val="000000" w:themeColor="text1"/>
                <w:sz w:val="20"/>
                <w:szCs w:val="20"/>
              </w:rPr>
              <w:t>1</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RDefault="5F77973C" w14:paraId="5AF0C60D" w14:textId="51A61C51"/>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0C71BF91" w14:textId="325FC3FE">
            <w:r w:rsidRPr="5F77973C">
              <w:rPr>
                <w:rFonts w:ascii="Calibri" w:hAnsi="Calibri" w:eastAsia="Calibri" w:cs="Calibri"/>
                <w:b/>
                <w:bCs/>
                <w:color w:val="000000" w:themeColor="text1"/>
                <w:sz w:val="20"/>
                <w:szCs w:val="20"/>
              </w:rPr>
              <w:t>2</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RDefault="5F77973C" w14:paraId="4F64B81E" w14:textId="7FDB7881"/>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04C1EFA4" w14:textId="086A4C5F">
            <w:r w:rsidRPr="5F77973C">
              <w:rPr>
                <w:rFonts w:ascii="Calibri" w:hAnsi="Calibri" w:eastAsia="Calibri" w:cs="Calibri"/>
                <w:b/>
                <w:bCs/>
                <w:color w:val="000000" w:themeColor="text1"/>
                <w:sz w:val="20"/>
                <w:szCs w:val="20"/>
              </w:rPr>
              <w:t>3</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RDefault="5F77973C" w14:paraId="08D41295" w14:textId="3B6D5B3C"/>
        </w:tc>
        <w:tc>
          <w:tcPr>
            <w:tcW w:w="200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09A2D287" w14:textId="0E088FBE">
            <w:pPr>
              <w:jc w:val="center"/>
            </w:pPr>
            <w:r w:rsidRPr="5F77973C">
              <w:rPr>
                <w:rFonts w:ascii="Calibri" w:hAnsi="Calibri" w:eastAsia="Calibri" w:cs="Calibri"/>
                <w:b/>
                <w:bCs/>
                <w:color w:val="000000" w:themeColor="text1"/>
                <w:sz w:val="20"/>
                <w:szCs w:val="20"/>
              </w:rPr>
              <w:t>Total GF Savings</w:t>
            </w:r>
          </w:p>
        </w:tc>
      </w:tr>
      <w:tr w:rsidR="5F77973C" w:rsidTr="5F77973C" w14:paraId="398F068B"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5E8BAB32" w14:textId="19A82331">
            <w:r w:rsidRPr="5F77973C">
              <w:rPr>
                <w:rFonts w:ascii="Calibri" w:hAnsi="Calibri" w:eastAsia="Calibri" w:cs="Calibri"/>
                <w:b/>
                <w:bCs/>
                <w:color w:val="000000" w:themeColor="text1"/>
                <w:sz w:val="20"/>
                <w:szCs w:val="20"/>
              </w:rPr>
              <w:t>General Fund</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1CFCE1CD" w14:textId="01BA8943">
            <w:r w:rsidRPr="5F77973C">
              <w:rPr>
                <w:rFonts w:ascii="Calibri" w:hAnsi="Calibri" w:eastAsia="Calibri" w:cs="Calibri"/>
                <w:b/>
                <w:bCs/>
                <w:color w:val="000000" w:themeColor="text1"/>
                <w:sz w:val="20"/>
                <w:szCs w:val="20"/>
              </w:rPr>
              <w:t>Cost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1D257B51" w14:textId="6C4F7185">
            <w:r w:rsidRPr="5F77973C">
              <w:rPr>
                <w:rFonts w:ascii="Calibri" w:hAnsi="Calibri" w:eastAsia="Calibri" w:cs="Calibri"/>
                <w:b/>
                <w:bCs/>
                <w:color w:val="000000" w:themeColor="text1"/>
                <w:sz w:val="20"/>
                <w:szCs w:val="20"/>
              </w:rPr>
              <w:t>Budget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4703BB20" w14:textId="3ACE9FA0">
            <w:r w:rsidRPr="5F77973C">
              <w:rPr>
                <w:rFonts w:ascii="Calibri" w:hAnsi="Calibri" w:eastAsia="Calibri" w:cs="Calibri"/>
                <w:b/>
                <w:bCs/>
                <w:color w:val="000000" w:themeColor="text1"/>
                <w:sz w:val="20"/>
                <w:szCs w:val="20"/>
              </w:rPr>
              <w:t>Cost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75BA3E01" w14:textId="2FABC196">
            <w:r w:rsidRPr="5F77973C">
              <w:rPr>
                <w:rFonts w:ascii="Calibri" w:hAnsi="Calibri" w:eastAsia="Calibri" w:cs="Calibri"/>
                <w:b/>
                <w:bCs/>
                <w:color w:val="000000" w:themeColor="text1"/>
                <w:sz w:val="20"/>
                <w:szCs w:val="20"/>
              </w:rPr>
              <w:t>Budget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47BAF530" w14:textId="3E9A1654">
            <w:r w:rsidRPr="5F77973C">
              <w:rPr>
                <w:rFonts w:ascii="Calibri" w:hAnsi="Calibri" w:eastAsia="Calibri" w:cs="Calibri"/>
                <w:b/>
                <w:bCs/>
                <w:color w:val="000000" w:themeColor="text1"/>
                <w:sz w:val="20"/>
                <w:szCs w:val="20"/>
              </w:rPr>
              <w:t>Cost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390C59BB" w14:textId="17440F43">
            <w:r w:rsidRPr="5F77973C">
              <w:rPr>
                <w:rFonts w:ascii="Calibri" w:hAnsi="Calibri" w:eastAsia="Calibri" w:cs="Calibri"/>
                <w:b/>
                <w:bCs/>
                <w:color w:val="000000" w:themeColor="text1"/>
                <w:sz w:val="20"/>
                <w:szCs w:val="20"/>
              </w:rPr>
              <w:t>Budget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4A6C56B0" w14:textId="4683A1FB">
            <w:r w:rsidRPr="5F77973C">
              <w:rPr>
                <w:rFonts w:ascii="Calibri" w:hAnsi="Calibri" w:eastAsia="Calibri" w:cs="Calibri"/>
                <w:b/>
                <w:bCs/>
                <w:color w:val="000000" w:themeColor="text1"/>
                <w:sz w:val="20"/>
                <w:szCs w:val="20"/>
              </w:rPr>
              <w:t>Cost Savings</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1F2"/>
            <w:tcMar>
              <w:top w:w="15" w:type="dxa"/>
              <w:left w:w="15" w:type="dxa"/>
              <w:right w:w="15" w:type="dxa"/>
            </w:tcMar>
            <w:vAlign w:val="bottom"/>
          </w:tcPr>
          <w:p w:rsidR="5F77973C" w:rsidP="5F77973C" w:rsidRDefault="5F77973C" w14:paraId="0096EF04" w14:textId="241E9219">
            <w:r w:rsidRPr="5F77973C">
              <w:rPr>
                <w:rFonts w:ascii="Calibri" w:hAnsi="Calibri" w:eastAsia="Calibri" w:cs="Calibri"/>
                <w:b/>
                <w:bCs/>
                <w:color w:val="000000" w:themeColor="text1"/>
                <w:sz w:val="20"/>
                <w:szCs w:val="20"/>
              </w:rPr>
              <w:t>Budget Savings</w:t>
            </w:r>
          </w:p>
        </w:tc>
      </w:tr>
      <w:tr w:rsidR="5F77973C" w:rsidTr="5F77973C" w14:paraId="348365C7"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1C28EA54" w14:textId="48D652DD"/>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7CDC0ECF" w14:textId="3D207624"/>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2C41632B" w14:textId="09CE4644"/>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16F731C2" w14:textId="2D36E889"/>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697C8F96" w14:textId="035716CB"/>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25709507" w14:textId="7EB1BAFD"/>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2A434B5A" w14:textId="527C5401"/>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4844BF24" w14:textId="5C9AD13E"/>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343587FF" w14:textId="4B281DD2"/>
        </w:tc>
      </w:tr>
      <w:tr w:rsidR="5F77973C" w:rsidTr="5F77973C" w14:paraId="57EAC5B6"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584330D9" w14:textId="6EE52F77">
            <w:r w:rsidRPr="5F77973C">
              <w:rPr>
                <w:rFonts w:ascii="Calibri" w:hAnsi="Calibri" w:eastAsia="Calibri" w:cs="Calibri"/>
                <w:color w:val="000000" w:themeColor="text1"/>
                <w:sz w:val="20"/>
                <w:szCs w:val="20"/>
              </w:rPr>
              <w:t>2%</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17DA4473" w14:textId="4344E6D1">
            <w:r w:rsidRPr="5F77973C">
              <w:rPr>
                <w:rFonts w:ascii="Calibri" w:hAnsi="Calibri" w:eastAsia="Calibri" w:cs="Calibri"/>
                <w:color w:val="000000" w:themeColor="text1"/>
                <w:sz w:val="20"/>
                <w:szCs w:val="20"/>
              </w:rPr>
              <w:t>1,245,353</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7360CC77" w14:textId="6F4928AB">
            <w:r w:rsidRPr="5F77973C">
              <w:rPr>
                <w:rFonts w:ascii="Calibri" w:hAnsi="Calibri" w:eastAsia="Calibri" w:cs="Calibri"/>
                <w:color w:val="000000" w:themeColor="text1"/>
                <w:sz w:val="20"/>
                <w:szCs w:val="20"/>
              </w:rPr>
              <w:t>1,120,183</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3450D350" w14:textId="19F37E90"/>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7807ECCA" w14:textId="40852D79"/>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3F72F038" w14:textId="40A10738"/>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53BCB30A" w14:textId="048B7583"/>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045A0691" w14:textId="0FE0AD5A">
            <w:r w:rsidRPr="5F77973C">
              <w:rPr>
                <w:rFonts w:ascii="Calibri" w:hAnsi="Calibri" w:eastAsia="Calibri" w:cs="Calibri"/>
                <w:b/>
                <w:bCs/>
                <w:color w:val="000000" w:themeColor="text1"/>
                <w:sz w:val="20"/>
                <w:szCs w:val="20"/>
              </w:rPr>
              <w:t>1,245,353</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7A498065" w14:textId="69867873">
            <w:r w:rsidRPr="5F77973C">
              <w:rPr>
                <w:rFonts w:ascii="Calibri" w:hAnsi="Calibri" w:eastAsia="Calibri" w:cs="Calibri"/>
                <w:b/>
                <w:bCs/>
                <w:color w:val="000000" w:themeColor="text1"/>
                <w:sz w:val="20"/>
                <w:szCs w:val="20"/>
              </w:rPr>
              <w:t>1,120,183</w:t>
            </w:r>
          </w:p>
        </w:tc>
      </w:tr>
      <w:tr w:rsidR="5F77973C" w:rsidTr="5F77973C" w14:paraId="2C033A9F"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4FD3A7C6" w14:textId="7627E1D1">
            <w:r w:rsidRPr="5F77973C">
              <w:rPr>
                <w:rFonts w:ascii="Calibri" w:hAnsi="Calibri" w:eastAsia="Calibri" w:cs="Calibri"/>
                <w:color w:val="000000" w:themeColor="text1"/>
                <w:sz w:val="20"/>
                <w:szCs w:val="20"/>
              </w:rPr>
              <w:t>4%</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416938AE" w14:textId="14E0D521"/>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5E9F4C54" w14:textId="1982484A"/>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37B61AE4" w14:textId="57B3D6FC">
            <w:r w:rsidRPr="5F77973C">
              <w:rPr>
                <w:rFonts w:ascii="Calibri" w:hAnsi="Calibri" w:eastAsia="Calibri" w:cs="Calibri"/>
                <w:color w:val="000000" w:themeColor="text1"/>
                <w:sz w:val="20"/>
                <w:szCs w:val="20"/>
              </w:rPr>
              <w:t>2,440,892</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64EF1507" w:rsidP="5F77973C" w:rsidRDefault="64EF1507" w14:paraId="28E41CEF" w14:textId="73E29A15">
            <w:r w:rsidRPr="5F77973C">
              <w:rPr>
                <w:rFonts w:ascii="Calibri" w:hAnsi="Calibri" w:eastAsia="Calibri" w:cs="Calibri"/>
                <w:color w:val="000000" w:themeColor="text1"/>
                <w:sz w:val="20"/>
                <w:szCs w:val="20"/>
              </w:rPr>
              <w:t>2,195,560</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68E8CC24" w14:textId="3E595222"/>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52C55D7C" w14:textId="3F055979"/>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030B46F5" w14:textId="5AC18CBE">
            <w:r w:rsidRPr="5F77973C">
              <w:rPr>
                <w:rFonts w:ascii="Calibri" w:hAnsi="Calibri" w:eastAsia="Calibri" w:cs="Calibri"/>
                <w:b/>
                <w:bCs/>
                <w:color w:val="000000" w:themeColor="text1"/>
                <w:sz w:val="20"/>
                <w:szCs w:val="20"/>
              </w:rPr>
              <w:t>2,440,892</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62551E00" w14:textId="2EA4C357">
            <w:r w:rsidRPr="5F77973C">
              <w:rPr>
                <w:rFonts w:ascii="Calibri" w:hAnsi="Calibri" w:eastAsia="Calibri" w:cs="Calibri"/>
                <w:b/>
                <w:bCs/>
                <w:color w:val="000000" w:themeColor="text1"/>
                <w:sz w:val="20"/>
                <w:szCs w:val="20"/>
              </w:rPr>
              <w:t>2,440,892</w:t>
            </w:r>
          </w:p>
        </w:tc>
      </w:tr>
      <w:tr w:rsidR="5F77973C" w:rsidTr="5F77973C" w14:paraId="38BDDB87" w14:textId="77777777">
        <w:trPr>
          <w:trHeight w:val="300"/>
        </w:trPr>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448B850D" w14:textId="212C05A5">
            <w:r w:rsidRPr="5F77973C">
              <w:rPr>
                <w:rFonts w:ascii="Calibri" w:hAnsi="Calibri" w:eastAsia="Calibri" w:cs="Calibri"/>
                <w:color w:val="000000" w:themeColor="text1"/>
                <w:sz w:val="20"/>
                <w:szCs w:val="20"/>
              </w:rPr>
              <w:t>5%</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343614FB" w14:textId="5BF3CC94"/>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613C02E1" w14:textId="740428BE"/>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60413035" w14:textId="777E8432"/>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RDefault="5F77973C" w14:paraId="11955169" w14:textId="1BE2ACB0"/>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77973C" w:rsidP="5F77973C" w:rsidRDefault="5F77973C" w14:paraId="295C03D1" w14:textId="1C0A4AF0">
            <w:r w:rsidRPr="5F77973C">
              <w:rPr>
                <w:rFonts w:ascii="Calibri" w:hAnsi="Calibri" w:eastAsia="Calibri" w:cs="Calibri"/>
                <w:color w:val="000000" w:themeColor="text1"/>
                <w:sz w:val="20"/>
                <w:szCs w:val="20"/>
              </w:rPr>
              <w:t>2,898,559</w:t>
            </w:r>
          </w:p>
        </w:tc>
        <w:tc>
          <w:tcPr>
            <w:tcW w:w="1002" w:type="dxa"/>
            <w:tcBorders>
              <w:top w:val="single" w:color="000000" w:themeColor="text1" w:sz="4" w:space="0"/>
              <w:left w:val="single" w:color="000000" w:themeColor="text1" w:sz="4" w:space="0"/>
              <w:bottom w:val="nil"/>
              <w:right w:val="single" w:color="000000" w:themeColor="text1" w:sz="4" w:space="0"/>
            </w:tcBorders>
            <w:tcMar>
              <w:top w:w="15" w:type="dxa"/>
              <w:left w:w="15" w:type="dxa"/>
              <w:right w:w="15" w:type="dxa"/>
            </w:tcMar>
            <w:vAlign w:val="bottom"/>
          </w:tcPr>
          <w:p w:rsidR="5F77973C" w:rsidP="5F77973C" w:rsidRDefault="5F77973C" w14:paraId="3680D532" w14:textId="3705AE7B">
            <w:r w:rsidRPr="5F77973C">
              <w:rPr>
                <w:rFonts w:ascii="Calibri" w:hAnsi="Calibri" w:eastAsia="Calibri" w:cs="Calibri"/>
                <w:color w:val="000000" w:themeColor="text1"/>
                <w:sz w:val="20"/>
                <w:szCs w:val="20"/>
              </w:rPr>
              <w:t>2,591,894</w:t>
            </w:r>
          </w:p>
        </w:tc>
        <w:tc>
          <w:tcPr>
            <w:tcW w:w="1002" w:type="dxa"/>
            <w:tcBorders>
              <w:top w:val="single" w:color="000000" w:themeColor="text1" w:sz="4" w:space="0"/>
              <w:left w:val="single" w:color="000000" w:themeColor="text1" w:sz="4" w:space="0"/>
              <w:bottom w:val="nil"/>
              <w:right w:val="single" w:color="000000" w:themeColor="text1" w:sz="4" w:space="0"/>
            </w:tcBorders>
            <w:tcMar>
              <w:top w:w="15" w:type="dxa"/>
              <w:left w:w="15" w:type="dxa"/>
              <w:right w:w="15" w:type="dxa"/>
            </w:tcMar>
            <w:vAlign w:val="bottom"/>
          </w:tcPr>
          <w:p w:rsidR="5F77973C" w:rsidP="5F77973C" w:rsidRDefault="5F77973C" w14:paraId="6FD33D10" w14:textId="45284BF7">
            <w:r w:rsidRPr="5F77973C">
              <w:rPr>
                <w:rFonts w:ascii="Calibri" w:hAnsi="Calibri" w:eastAsia="Calibri" w:cs="Calibri"/>
                <w:b/>
                <w:bCs/>
                <w:color w:val="000000" w:themeColor="text1"/>
                <w:sz w:val="20"/>
                <w:szCs w:val="20"/>
              </w:rPr>
              <w:t>2,898,559</w:t>
            </w:r>
          </w:p>
        </w:tc>
        <w:tc>
          <w:tcPr>
            <w:tcW w:w="1002" w:type="dxa"/>
            <w:tcBorders>
              <w:top w:val="single" w:color="000000" w:themeColor="text1" w:sz="4" w:space="0"/>
              <w:left w:val="single" w:color="000000" w:themeColor="text1" w:sz="4" w:space="0"/>
              <w:bottom w:val="nil"/>
              <w:right w:val="single" w:color="000000" w:themeColor="text1" w:sz="4" w:space="0"/>
            </w:tcBorders>
            <w:tcMar>
              <w:top w:w="15" w:type="dxa"/>
              <w:left w:w="15" w:type="dxa"/>
              <w:right w:w="15" w:type="dxa"/>
            </w:tcMar>
            <w:vAlign w:val="bottom"/>
          </w:tcPr>
          <w:p w:rsidR="5F77973C" w:rsidP="5F77973C" w:rsidRDefault="5F77973C" w14:paraId="1967C11A" w14:textId="0E7BBBFF">
            <w:r w:rsidRPr="5F77973C">
              <w:rPr>
                <w:rFonts w:ascii="Calibri" w:hAnsi="Calibri" w:eastAsia="Calibri" w:cs="Calibri"/>
                <w:b/>
                <w:bCs/>
                <w:color w:val="000000" w:themeColor="text1"/>
                <w:sz w:val="20"/>
                <w:szCs w:val="20"/>
              </w:rPr>
              <w:t>2,591,894</w:t>
            </w:r>
          </w:p>
        </w:tc>
      </w:tr>
      <w:tr w:rsidR="5F77973C" w:rsidTr="5F77973C" w14:paraId="23BB906E" w14:textId="77777777">
        <w:trPr>
          <w:trHeight w:val="300"/>
        </w:trPr>
        <w:tc>
          <w:tcPr>
            <w:tcW w:w="1002" w:type="dxa"/>
            <w:tcBorders>
              <w:top w:val="single" w:color="000000" w:themeColor="text1" w:sz="4" w:space="0"/>
              <w:left w:val="nil"/>
              <w:bottom w:val="nil"/>
              <w:right w:val="nil"/>
            </w:tcBorders>
            <w:tcMar>
              <w:top w:w="15" w:type="dxa"/>
              <w:left w:w="15" w:type="dxa"/>
              <w:right w:w="15" w:type="dxa"/>
            </w:tcMar>
            <w:vAlign w:val="bottom"/>
          </w:tcPr>
          <w:p w:rsidR="5F77973C" w:rsidRDefault="5F77973C" w14:paraId="455E10B7" w14:textId="301F3480"/>
        </w:tc>
        <w:tc>
          <w:tcPr>
            <w:tcW w:w="1002" w:type="dxa"/>
            <w:tcBorders>
              <w:top w:val="single" w:color="000000" w:themeColor="text1" w:sz="4" w:space="0"/>
              <w:left w:val="nil"/>
              <w:bottom w:val="nil"/>
              <w:right w:val="nil"/>
            </w:tcBorders>
            <w:tcMar>
              <w:top w:w="15" w:type="dxa"/>
              <w:left w:w="15" w:type="dxa"/>
              <w:right w:w="15" w:type="dxa"/>
            </w:tcMar>
            <w:vAlign w:val="bottom"/>
          </w:tcPr>
          <w:p w:rsidR="5F77973C" w:rsidRDefault="5F77973C" w14:paraId="1F3F37E9" w14:textId="6A54CE5C"/>
        </w:tc>
        <w:tc>
          <w:tcPr>
            <w:tcW w:w="1002" w:type="dxa"/>
            <w:tcBorders>
              <w:top w:val="single" w:color="000000" w:themeColor="text1" w:sz="4" w:space="0"/>
              <w:left w:val="nil"/>
              <w:bottom w:val="nil"/>
              <w:right w:val="nil"/>
            </w:tcBorders>
            <w:tcMar>
              <w:top w:w="15" w:type="dxa"/>
              <w:left w:w="15" w:type="dxa"/>
              <w:right w:w="15" w:type="dxa"/>
            </w:tcMar>
            <w:vAlign w:val="bottom"/>
          </w:tcPr>
          <w:p w:rsidR="5F77973C" w:rsidRDefault="5F77973C" w14:paraId="40C5766C" w14:textId="5D568CBC"/>
        </w:tc>
        <w:tc>
          <w:tcPr>
            <w:tcW w:w="1002" w:type="dxa"/>
            <w:tcBorders>
              <w:top w:val="single" w:color="000000" w:themeColor="text1" w:sz="4" w:space="0"/>
              <w:left w:val="nil"/>
              <w:bottom w:val="nil"/>
              <w:right w:val="nil"/>
            </w:tcBorders>
            <w:tcMar>
              <w:top w:w="15" w:type="dxa"/>
              <w:left w:w="15" w:type="dxa"/>
              <w:right w:w="15" w:type="dxa"/>
            </w:tcMar>
            <w:vAlign w:val="bottom"/>
          </w:tcPr>
          <w:p w:rsidR="5F77973C" w:rsidRDefault="5F77973C" w14:paraId="5C7E3B4F" w14:textId="580F6045"/>
        </w:tc>
        <w:tc>
          <w:tcPr>
            <w:tcW w:w="1002" w:type="dxa"/>
            <w:tcBorders>
              <w:top w:val="single" w:color="000000" w:themeColor="text1" w:sz="4" w:space="0"/>
              <w:left w:val="nil"/>
              <w:bottom w:val="nil"/>
              <w:right w:val="nil"/>
            </w:tcBorders>
            <w:tcMar>
              <w:top w:w="15" w:type="dxa"/>
              <w:left w:w="15" w:type="dxa"/>
              <w:right w:w="15" w:type="dxa"/>
            </w:tcMar>
            <w:vAlign w:val="bottom"/>
          </w:tcPr>
          <w:p w:rsidR="5F77973C" w:rsidRDefault="5F77973C" w14:paraId="112B97C6" w14:textId="20752A36"/>
        </w:tc>
        <w:tc>
          <w:tcPr>
            <w:tcW w:w="1002" w:type="dxa"/>
            <w:tcBorders>
              <w:top w:val="single" w:color="000000" w:themeColor="text1" w:sz="4" w:space="0"/>
              <w:left w:val="nil"/>
              <w:bottom w:val="nil"/>
              <w:right w:val="nil"/>
            </w:tcBorders>
            <w:tcMar>
              <w:top w:w="15" w:type="dxa"/>
              <w:left w:w="15" w:type="dxa"/>
              <w:right w:w="15" w:type="dxa"/>
            </w:tcMar>
            <w:vAlign w:val="bottom"/>
          </w:tcPr>
          <w:p w:rsidR="5F77973C" w:rsidRDefault="5F77973C" w14:paraId="55DF3F9A" w14:textId="77CEC235"/>
        </w:tc>
        <w:tc>
          <w:tcPr>
            <w:tcW w:w="10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bottom"/>
          </w:tcPr>
          <w:p w:rsidR="5F77973C" w:rsidP="5F77973C" w:rsidRDefault="5F77973C" w14:paraId="0AF4258C" w14:textId="463EC08E">
            <w:pPr>
              <w:jc w:val="right"/>
            </w:pPr>
            <w:r w:rsidRPr="5F77973C">
              <w:rPr>
                <w:rFonts w:ascii="Calibri" w:hAnsi="Calibri" w:eastAsia="Calibri" w:cs="Calibri"/>
                <w:b/>
                <w:bCs/>
                <w:color w:val="000000" w:themeColor="text1"/>
              </w:rPr>
              <w:t>Total</w:t>
            </w:r>
          </w:p>
        </w:tc>
        <w:tc>
          <w:tcPr>
            <w:tcW w:w="10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bottom"/>
          </w:tcPr>
          <w:p w:rsidR="5F77973C" w:rsidP="5F77973C" w:rsidRDefault="5F77973C" w14:paraId="18EC7B6F" w14:textId="6A3520C9">
            <w:r w:rsidRPr="5F77973C">
              <w:rPr>
                <w:rFonts w:ascii="Calibri" w:hAnsi="Calibri" w:eastAsia="Calibri" w:cs="Calibri"/>
                <w:b/>
                <w:bCs/>
                <w:color w:val="000000" w:themeColor="text1"/>
                <w:sz w:val="20"/>
                <w:szCs w:val="20"/>
              </w:rPr>
              <w:t>6,584,804</w:t>
            </w:r>
          </w:p>
        </w:tc>
        <w:tc>
          <w:tcPr>
            <w:tcW w:w="10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bottom"/>
          </w:tcPr>
          <w:p w:rsidR="65AC954F" w:rsidP="5F77973C" w:rsidRDefault="65AC954F" w14:paraId="27BCD7D2" w14:textId="72D04AB7">
            <w:pPr>
              <w:rPr>
                <w:rFonts w:ascii="Calibri" w:hAnsi="Calibri" w:eastAsia="Calibri" w:cs="Calibri"/>
                <w:b/>
                <w:bCs/>
                <w:color w:val="000000" w:themeColor="text1"/>
                <w:sz w:val="20"/>
                <w:szCs w:val="20"/>
              </w:rPr>
            </w:pPr>
            <w:r w:rsidRPr="5F77973C">
              <w:rPr>
                <w:rFonts w:ascii="Calibri" w:hAnsi="Calibri" w:eastAsia="Calibri" w:cs="Calibri"/>
                <w:b/>
                <w:bCs/>
                <w:color w:val="000000" w:themeColor="text1"/>
                <w:sz w:val="20"/>
                <w:szCs w:val="20"/>
              </w:rPr>
              <w:t>5,907,637</w:t>
            </w:r>
          </w:p>
        </w:tc>
      </w:tr>
    </w:tbl>
    <w:p w:rsidR="5F77973C" w:rsidP="5F77973C" w:rsidRDefault="5F77973C" w14:paraId="722CCAA6" w14:textId="1908841A">
      <w:pPr>
        <w:pStyle w:val="ListParagraph"/>
        <w:ind w:left="0"/>
        <w:rPr>
          <w:rFonts w:ascii="Arial" w:hAnsi="Arial" w:cs="Arial"/>
          <w:sz w:val="20"/>
          <w:szCs w:val="20"/>
        </w:rPr>
      </w:pPr>
    </w:p>
    <w:p w:rsidR="6AE48CD2" w:rsidP="5F77973C" w:rsidRDefault="6AE48CD2" w14:paraId="2B5DD9D0" w14:textId="6EF88B11">
      <w:pPr>
        <w:pStyle w:val="ListParagraph"/>
        <w:ind w:left="0"/>
        <w:rPr>
          <w:rFonts w:ascii="Arial" w:hAnsi="Arial" w:cs="Arial"/>
          <w:sz w:val="20"/>
          <w:szCs w:val="20"/>
        </w:rPr>
      </w:pPr>
      <w:r w:rsidRPr="5F77973C">
        <w:rPr>
          <w:rFonts w:ascii="Arial" w:hAnsi="Arial" w:cs="Arial"/>
          <w:sz w:val="20"/>
          <w:szCs w:val="20"/>
        </w:rPr>
        <w:t xml:space="preserve">This total saving equates to £12.7m cost and budget savings combined, therefore nearly double the savings </w:t>
      </w:r>
      <w:r w:rsidRPr="5F77973C" w:rsidR="052B83D6">
        <w:rPr>
          <w:rFonts w:ascii="Arial" w:hAnsi="Arial" w:cs="Arial"/>
          <w:sz w:val="20"/>
          <w:szCs w:val="20"/>
        </w:rPr>
        <w:t xml:space="preserve">from applying a flat-rate of 2% savings year-on-year. This is a more realistic opportunity and would be </w:t>
      </w:r>
      <w:r w:rsidRPr="5F77973C" w:rsidR="46869EA4">
        <w:rPr>
          <w:rFonts w:ascii="Arial" w:hAnsi="Arial" w:cs="Arial"/>
          <w:sz w:val="20"/>
          <w:szCs w:val="20"/>
        </w:rPr>
        <w:t xml:space="preserve">achievable from a less conservative estimate of 10-15% savings achievable from contract management maturity. The graph below shows </w:t>
      </w:r>
      <w:r w:rsidRPr="5F77973C" w:rsidR="6A6FA337">
        <w:rPr>
          <w:rFonts w:ascii="Arial" w:hAnsi="Arial" w:cs="Arial"/>
          <w:sz w:val="20"/>
          <w:szCs w:val="20"/>
        </w:rPr>
        <w:t xml:space="preserve">how value can be achieved but also demonstrates that contract management is hugely important from day 1 of the contract commencing, and therefore considers the irrelevance of when </w:t>
      </w:r>
      <w:r w:rsidRPr="5F77973C" w:rsidR="1338C8BA">
        <w:rPr>
          <w:rFonts w:ascii="Arial" w:hAnsi="Arial" w:cs="Arial"/>
          <w:sz w:val="20"/>
          <w:szCs w:val="20"/>
        </w:rPr>
        <w:t>a contract ends; value can be achieved in all years of the contractual term:</w:t>
      </w:r>
    </w:p>
    <w:p w:rsidR="5F77973C" w:rsidP="5F77973C" w:rsidRDefault="5F77973C" w14:paraId="31632D7E" w14:textId="16411F7C">
      <w:pPr>
        <w:pStyle w:val="ListParagraph"/>
        <w:ind w:left="0"/>
        <w:rPr>
          <w:rFonts w:ascii="Arial" w:hAnsi="Arial" w:cs="Arial"/>
          <w:sz w:val="20"/>
          <w:szCs w:val="20"/>
        </w:rPr>
      </w:pPr>
    </w:p>
    <w:p w:rsidR="6A6FA337" w:rsidP="5F77973C" w:rsidRDefault="6A6FA337" w14:paraId="2768B48C" w14:textId="2D40C652">
      <w:pPr>
        <w:pStyle w:val="ListParagraph"/>
        <w:ind w:left="0"/>
      </w:pPr>
      <w:r>
        <w:rPr>
          <w:noProof/>
        </w:rPr>
        <w:drawing>
          <wp:inline distT="0" distB="0" distL="0" distR="0" wp14:anchorId="4CB813C0" wp14:editId="538DDCFF">
            <wp:extent cx="5715000" cy="2619375"/>
            <wp:effectExtent l="0" t="0" r="0" b="0"/>
            <wp:docPr id="2123941905" name="Picture 212394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15000" cy="2619375"/>
                    </a:xfrm>
                    <a:prstGeom prst="rect">
                      <a:avLst/>
                    </a:prstGeom>
                  </pic:spPr>
                </pic:pic>
              </a:graphicData>
            </a:graphic>
          </wp:inline>
        </w:drawing>
      </w:r>
    </w:p>
    <w:p w:rsidR="5F77973C" w:rsidP="5F77973C" w:rsidRDefault="5F77973C" w14:paraId="04C89D9D" w14:textId="6A73CBA7">
      <w:pPr>
        <w:pStyle w:val="ListParagraph"/>
        <w:ind w:left="0"/>
        <w:rPr>
          <w:rFonts w:ascii="Arial" w:hAnsi="Arial" w:cs="Arial"/>
          <w:sz w:val="20"/>
          <w:szCs w:val="20"/>
        </w:rPr>
      </w:pPr>
    </w:p>
    <w:p w:rsidR="6B5A85DA" w:rsidP="5F77973C" w:rsidRDefault="6B5A85DA" w14:paraId="37A9D88D" w14:textId="14BB8E29">
      <w:pPr>
        <w:pStyle w:val="ListParagraph"/>
        <w:ind w:left="0"/>
        <w:rPr>
          <w:rFonts w:ascii="Arial" w:hAnsi="Arial" w:cs="Arial"/>
          <w:sz w:val="20"/>
          <w:szCs w:val="20"/>
        </w:rPr>
      </w:pPr>
      <w:r w:rsidRPr="5F77973C">
        <w:rPr>
          <w:rFonts w:ascii="Arial" w:hAnsi="Arial" w:cs="Arial"/>
          <w:sz w:val="20"/>
          <w:szCs w:val="20"/>
        </w:rPr>
        <w:t>If we then consider other savings such as 10% on P-Card spending as this is unmanaged at present</w:t>
      </w:r>
      <w:r w:rsidRPr="5F77973C" w:rsidR="16733079">
        <w:rPr>
          <w:rFonts w:ascii="Arial" w:hAnsi="Arial" w:cs="Arial"/>
          <w:sz w:val="20"/>
          <w:szCs w:val="20"/>
        </w:rPr>
        <w:t>,</w:t>
      </w:r>
      <w:r w:rsidRPr="5F77973C">
        <w:rPr>
          <w:rFonts w:ascii="Arial" w:hAnsi="Arial" w:cs="Arial"/>
          <w:sz w:val="20"/>
          <w:szCs w:val="20"/>
        </w:rPr>
        <w:t xml:space="preserve"> </w:t>
      </w:r>
      <w:r w:rsidRPr="5F77973C" w:rsidR="53C9C474">
        <w:rPr>
          <w:rFonts w:ascii="Arial" w:hAnsi="Arial" w:cs="Arial"/>
          <w:sz w:val="20"/>
          <w:szCs w:val="20"/>
        </w:rPr>
        <w:t xml:space="preserve">this </w:t>
      </w:r>
      <w:proofErr w:type="gramStart"/>
      <w:r w:rsidRPr="5F77973C" w:rsidR="53C9C474">
        <w:rPr>
          <w:rFonts w:ascii="Arial" w:hAnsi="Arial" w:cs="Arial"/>
          <w:sz w:val="20"/>
          <w:szCs w:val="20"/>
        </w:rPr>
        <w:t>would</w:t>
      </w:r>
      <w:proofErr w:type="gramEnd"/>
      <w:r w:rsidRPr="5F77973C" w:rsidR="53C9C474">
        <w:rPr>
          <w:rFonts w:ascii="Arial" w:hAnsi="Arial" w:cs="Arial"/>
          <w:sz w:val="20"/>
          <w:szCs w:val="20"/>
        </w:rPr>
        <w:t xml:space="preserve"> generate circa £47k savings and if we also included tail spending savings at 5%</w:t>
      </w:r>
      <w:r w:rsidRPr="5F77973C" w:rsidR="23A70DC2">
        <w:rPr>
          <w:rFonts w:ascii="Arial" w:hAnsi="Arial" w:cs="Arial"/>
          <w:sz w:val="20"/>
          <w:szCs w:val="20"/>
        </w:rPr>
        <w:t xml:space="preserve"> this would equate to £76k</w:t>
      </w:r>
      <w:r w:rsidRPr="5F77973C" w:rsidR="300363C2">
        <w:rPr>
          <w:rFonts w:ascii="Arial" w:hAnsi="Arial" w:cs="Arial"/>
          <w:sz w:val="20"/>
          <w:szCs w:val="20"/>
        </w:rPr>
        <w:t>.The total of the two</w:t>
      </w:r>
      <w:r w:rsidRPr="5F77973C" w:rsidR="23A70DC2">
        <w:rPr>
          <w:rFonts w:ascii="Arial" w:hAnsi="Arial" w:cs="Arial"/>
          <w:sz w:val="20"/>
          <w:szCs w:val="20"/>
        </w:rPr>
        <w:t xml:space="preserve"> would generate a further £123k in savings</w:t>
      </w:r>
      <w:r w:rsidRPr="5F77973C" w:rsidR="4E2D4D24">
        <w:rPr>
          <w:rFonts w:ascii="Arial" w:hAnsi="Arial" w:cs="Arial"/>
          <w:sz w:val="20"/>
          <w:szCs w:val="20"/>
        </w:rPr>
        <w:t xml:space="preserve"> achievable by 25/26 to allow for procedural changes and staff training and uptake</w:t>
      </w:r>
      <w:r w:rsidRPr="5F77973C" w:rsidR="23A70DC2">
        <w:rPr>
          <w:rFonts w:ascii="Arial" w:hAnsi="Arial" w:cs="Arial"/>
          <w:sz w:val="20"/>
          <w:szCs w:val="20"/>
        </w:rPr>
        <w:t>.</w:t>
      </w:r>
    </w:p>
    <w:p w:rsidR="5F77973C" w:rsidP="5F77973C" w:rsidRDefault="5F77973C" w14:paraId="08DE0F1C" w14:textId="36401A64">
      <w:pPr>
        <w:pStyle w:val="ListParagraph"/>
        <w:ind w:left="0"/>
        <w:rPr>
          <w:rFonts w:ascii="Arial" w:hAnsi="Arial" w:cs="Arial"/>
          <w:sz w:val="20"/>
          <w:szCs w:val="20"/>
        </w:rPr>
      </w:pPr>
    </w:p>
    <w:p w:rsidR="7884BDD4" w:rsidP="5F77973C" w:rsidRDefault="7884BDD4" w14:paraId="7A286F3B" w14:textId="6C51E398">
      <w:pPr>
        <w:pStyle w:val="ListParagraph"/>
        <w:ind w:left="0"/>
        <w:rPr>
          <w:rFonts w:ascii="Arial" w:hAnsi="Arial" w:cs="Arial"/>
          <w:b/>
          <w:bCs/>
          <w:sz w:val="20"/>
          <w:szCs w:val="20"/>
        </w:rPr>
      </w:pPr>
      <w:r w:rsidRPr="5F77973C">
        <w:rPr>
          <w:rFonts w:ascii="Arial" w:hAnsi="Arial" w:cs="Arial"/>
          <w:b/>
          <w:bCs/>
          <w:sz w:val="20"/>
          <w:szCs w:val="20"/>
        </w:rPr>
        <w:t>Other Proposed Changes</w:t>
      </w:r>
    </w:p>
    <w:p w:rsidR="00C8194B" w:rsidP="714252C5" w:rsidRDefault="00C8194B" w14:paraId="6AF56988" w14:textId="4A1C902A">
      <w:pPr>
        <w:pStyle w:val="ListParagraph"/>
        <w:ind w:left="0"/>
        <w:rPr>
          <w:rFonts w:ascii="Arial" w:hAnsi="Arial" w:cs="Arial"/>
          <w:color w:val="FF0000"/>
          <w:sz w:val="20"/>
          <w:szCs w:val="20"/>
        </w:rPr>
      </w:pPr>
    </w:p>
    <w:p w:rsidR="00C8194B" w:rsidP="00667DDE" w:rsidRDefault="31A649D9" w14:paraId="7A4E3B8A" w14:textId="0A405126">
      <w:pPr>
        <w:pStyle w:val="NoSpacing"/>
        <w:numPr>
          <w:ilvl w:val="0"/>
          <w:numId w:val="10"/>
        </w:numPr>
        <w:rPr>
          <w:rFonts w:ascii="Arial" w:hAnsi="Arial" w:cs="Arial"/>
          <w:sz w:val="20"/>
          <w:szCs w:val="20"/>
        </w:rPr>
      </w:pPr>
      <w:r w:rsidRPr="714252C5">
        <w:rPr>
          <w:rFonts w:ascii="Arial" w:hAnsi="Arial" w:cs="Arial"/>
          <w:sz w:val="20"/>
          <w:szCs w:val="20"/>
        </w:rPr>
        <w:t>I</w:t>
      </w:r>
      <w:r w:rsidRPr="714252C5" w:rsidR="00667DDE">
        <w:rPr>
          <w:rFonts w:ascii="Arial" w:hAnsi="Arial" w:cs="Arial"/>
          <w:sz w:val="20"/>
          <w:szCs w:val="20"/>
        </w:rPr>
        <w:t xml:space="preserve">mplement PIPS recommendations and </w:t>
      </w:r>
      <w:r w:rsidRPr="714252C5" w:rsidR="00CB0F1B">
        <w:rPr>
          <w:rFonts w:ascii="Arial" w:hAnsi="Arial" w:cs="Arial"/>
          <w:sz w:val="20"/>
          <w:szCs w:val="20"/>
        </w:rPr>
        <w:t xml:space="preserve">optimise Contract Management, through the development of a </w:t>
      </w:r>
      <w:r w:rsidRPr="714252C5" w:rsidR="00F05DC3">
        <w:rPr>
          <w:rFonts w:ascii="Arial" w:hAnsi="Arial" w:cs="Arial"/>
          <w:sz w:val="20"/>
          <w:szCs w:val="20"/>
        </w:rPr>
        <w:t>delivery TOM</w:t>
      </w:r>
      <w:r w:rsidRPr="714252C5" w:rsidR="000B2B67">
        <w:rPr>
          <w:rFonts w:ascii="Arial" w:hAnsi="Arial" w:cs="Arial"/>
          <w:sz w:val="20"/>
          <w:szCs w:val="20"/>
        </w:rPr>
        <w:t>.</w:t>
      </w:r>
    </w:p>
    <w:p w:rsidR="000B2B67" w:rsidP="00667DDE" w:rsidRDefault="000B2B67" w14:paraId="11CC8924" w14:textId="6ABCF871">
      <w:pPr>
        <w:pStyle w:val="NoSpacing"/>
        <w:numPr>
          <w:ilvl w:val="0"/>
          <w:numId w:val="10"/>
        </w:numPr>
        <w:rPr>
          <w:rFonts w:ascii="Arial" w:hAnsi="Arial" w:cs="Arial"/>
          <w:sz w:val="20"/>
          <w:szCs w:val="20"/>
        </w:rPr>
      </w:pPr>
      <w:r>
        <w:rPr>
          <w:rFonts w:ascii="Arial" w:hAnsi="Arial" w:cs="Arial"/>
          <w:sz w:val="20"/>
          <w:szCs w:val="20"/>
        </w:rPr>
        <w:t xml:space="preserve">Review contracts to ensure VFM </w:t>
      </w:r>
      <w:r w:rsidR="00A52986">
        <w:rPr>
          <w:rFonts w:ascii="Arial" w:hAnsi="Arial" w:cs="Arial"/>
          <w:sz w:val="20"/>
          <w:szCs w:val="20"/>
        </w:rPr>
        <w:t xml:space="preserve">is being achieved. </w:t>
      </w:r>
    </w:p>
    <w:p w:rsidR="008D1FCC" w:rsidP="008D1FCC" w:rsidRDefault="008D1FCC" w14:paraId="7D5F9673" w14:textId="77777777">
      <w:pPr>
        <w:pStyle w:val="NoSpacing"/>
        <w:rPr>
          <w:rFonts w:ascii="Arial" w:hAnsi="Arial" w:cs="Arial"/>
          <w:sz w:val="20"/>
          <w:szCs w:val="20"/>
        </w:rPr>
      </w:pPr>
    </w:p>
    <w:p w:rsidRPr="00D268AC" w:rsidR="00C8194B" w:rsidP="008D1FCC" w:rsidRDefault="00A52986" w14:paraId="5A2D799B" w14:textId="0D07C00E">
      <w:pPr>
        <w:pStyle w:val="NoSpacing"/>
        <w:rPr>
          <w:rFonts w:ascii="Arial" w:hAnsi="Arial" w:cs="Arial"/>
          <w:sz w:val="20"/>
          <w:szCs w:val="20"/>
        </w:rPr>
      </w:pPr>
      <w:r w:rsidRPr="4C30C4F4">
        <w:rPr>
          <w:rFonts w:ascii="Arial" w:hAnsi="Arial" w:cs="Arial"/>
          <w:sz w:val="20"/>
          <w:szCs w:val="20"/>
        </w:rPr>
        <w:t>Savings have been calculated on a conservative estimation based upon a total third-party expenditure</w:t>
      </w:r>
      <w:r w:rsidRPr="4C30C4F4" w:rsidR="19CFFF08">
        <w:rPr>
          <w:rFonts w:ascii="Arial" w:hAnsi="Arial" w:cs="Arial"/>
          <w:sz w:val="20"/>
          <w:szCs w:val="20"/>
        </w:rPr>
        <w:t xml:space="preserve"> within the General Fund</w:t>
      </w:r>
      <w:r w:rsidRPr="4C30C4F4">
        <w:rPr>
          <w:rFonts w:ascii="Arial" w:hAnsi="Arial" w:cs="Arial"/>
          <w:sz w:val="20"/>
          <w:szCs w:val="20"/>
        </w:rPr>
        <w:t xml:space="preserve"> for 2</w:t>
      </w:r>
      <w:r w:rsidRPr="4C30C4F4" w:rsidR="363A688B">
        <w:rPr>
          <w:rFonts w:ascii="Arial" w:hAnsi="Arial" w:cs="Arial"/>
          <w:sz w:val="20"/>
          <w:szCs w:val="20"/>
        </w:rPr>
        <w:t>4/25 draft budget</w:t>
      </w:r>
      <w:r w:rsidRPr="4C30C4F4">
        <w:rPr>
          <w:rFonts w:ascii="Arial" w:hAnsi="Arial" w:cs="Arial"/>
          <w:sz w:val="20"/>
          <w:szCs w:val="20"/>
        </w:rPr>
        <w:t xml:space="preserve"> of £</w:t>
      </w:r>
      <w:r w:rsidRPr="4C30C4F4" w:rsidR="1360BD84">
        <w:rPr>
          <w:rFonts w:ascii="Arial" w:hAnsi="Arial" w:cs="Arial"/>
          <w:sz w:val="20"/>
          <w:szCs w:val="20"/>
        </w:rPr>
        <w:t>164</w:t>
      </w:r>
      <w:r w:rsidRPr="4C30C4F4">
        <w:rPr>
          <w:rFonts w:ascii="Arial" w:hAnsi="Arial" w:cs="Arial"/>
          <w:sz w:val="20"/>
          <w:szCs w:val="20"/>
        </w:rPr>
        <w:t xml:space="preserve">m and </w:t>
      </w:r>
      <w:r w:rsidRPr="4C30C4F4">
        <w:rPr>
          <w:rFonts w:ascii="Arial" w:hAnsi="Arial" w:cs="Arial"/>
          <w:b/>
          <w:bCs/>
          <w:sz w:val="20"/>
          <w:szCs w:val="20"/>
        </w:rPr>
        <w:t>2%</w:t>
      </w:r>
      <w:r w:rsidRPr="4C30C4F4">
        <w:rPr>
          <w:rFonts w:ascii="Arial" w:hAnsi="Arial" w:cs="Arial"/>
          <w:sz w:val="20"/>
          <w:szCs w:val="20"/>
        </w:rPr>
        <w:t xml:space="preserve"> savings achieved on all contracts through better contract management</w:t>
      </w:r>
      <w:r w:rsidRPr="4C30C4F4" w:rsidR="29EE1058">
        <w:rPr>
          <w:rFonts w:ascii="Arial" w:hAnsi="Arial" w:cs="Arial"/>
          <w:sz w:val="20"/>
          <w:szCs w:val="20"/>
        </w:rPr>
        <w:t xml:space="preserve"> and achieving best practice and contract management maturity</w:t>
      </w:r>
      <w:r w:rsidRPr="4C30C4F4">
        <w:rPr>
          <w:rFonts w:ascii="Arial" w:hAnsi="Arial" w:cs="Arial"/>
          <w:sz w:val="20"/>
          <w:szCs w:val="20"/>
        </w:rPr>
        <w:t>, value levering and supplier relationship management.</w:t>
      </w:r>
    </w:p>
    <w:p w:rsidR="5F77973C" w:rsidP="5F77973C" w:rsidRDefault="5F77973C" w14:paraId="6CBCA196" w14:textId="1C8A040D">
      <w:pPr>
        <w:pStyle w:val="NoSpacing"/>
        <w:rPr>
          <w:rFonts w:ascii="Arial" w:hAnsi="Arial" w:cs="Arial"/>
          <w:sz w:val="20"/>
          <w:szCs w:val="20"/>
        </w:rPr>
      </w:pPr>
    </w:p>
    <w:p w:rsidRPr="005A2497" w:rsidR="0061045B" w:rsidP="00843326" w:rsidRDefault="0061045B" w14:paraId="1C516543" w14:textId="40DB6ECC">
      <w:pPr>
        <w:pStyle w:val="NoSpacing"/>
        <w:rPr>
          <w:rFonts w:ascii="Arial" w:hAnsi="Arial" w:cs="Arial"/>
          <w:sz w:val="20"/>
          <w:szCs w:val="20"/>
        </w:rPr>
      </w:pPr>
    </w:p>
    <w:p w:rsidRPr="00035CB3" w:rsidR="00451566" w:rsidP="00035CB3" w:rsidRDefault="00451566" w14:paraId="45B9E7D7" w14:textId="77777777">
      <w:pPr>
        <w:pStyle w:val="NoSpacing"/>
        <w:shd w:val="clear" w:color="auto" w:fill="7030A0"/>
        <w:rPr>
          <w:rFonts w:ascii="Arial" w:hAnsi="Arial" w:cs="Arial"/>
          <w:b/>
          <w:bCs/>
          <w:color w:val="FFFFFF" w:themeColor="background1"/>
          <w:sz w:val="20"/>
          <w:szCs w:val="20"/>
        </w:rPr>
      </w:pPr>
      <w:r w:rsidRPr="00035CB3">
        <w:rPr>
          <w:rFonts w:ascii="Arial" w:hAnsi="Arial" w:cs="Arial"/>
          <w:b/>
          <w:bCs/>
          <w:color w:val="FFFFFF" w:themeColor="background1"/>
          <w:sz w:val="20"/>
          <w:szCs w:val="20"/>
        </w:rPr>
        <w:t>Opportunity Qualification</w:t>
      </w:r>
    </w:p>
    <w:p w:rsidRPr="005A2497" w:rsidR="00B42CDF" w:rsidP="00B42CDF" w:rsidRDefault="00B42CDF" w14:paraId="52DEC7BD" w14:textId="77777777">
      <w:pPr>
        <w:pStyle w:val="NoSpacing"/>
        <w:shd w:val="clear" w:color="auto" w:fill="FFFFFF" w:themeFill="background1"/>
        <w:rPr>
          <w:rFonts w:ascii="Arial" w:hAnsi="Arial" w:cs="Arial"/>
          <w:b/>
          <w:bCs/>
          <w:sz w:val="20"/>
          <w:szCs w:val="20"/>
        </w:rPr>
      </w:pPr>
    </w:p>
    <w:tbl>
      <w:tblPr>
        <w:tblStyle w:val="TableGrid"/>
        <w:tblW w:w="0" w:type="auto"/>
        <w:tblLook w:val="04A0" w:firstRow="1" w:lastRow="0" w:firstColumn="1" w:lastColumn="0" w:noHBand="0" w:noVBand="1"/>
      </w:tblPr>
      <w:tblGrid>
        <w:gridCol w:w="3539"/>
        <w:gridCol w:w="1985"/>
      </w:tblGrid>
      <w:tr w:rsidRPr="005A2497" w:rsidR="000D2E30" w:rsidTr="4C30C4F4" w14:paraId="6CC0C832" w14:textId="77777777">
        <w:tc>
          <w:tcPr>
            <w:tcW w:w="3539" w:type="dxa"/>
            <w:shd w:val="clear" w:color="auto" w:fill="66B0AB"/>
          </w:tcPr>
          <w:p w:rsidRPr="005A2497" w:rsidR="000D2E30" w:rsidP="00843326" w:rsidRDefault="000D2E30" w14:paraId="07FFEE7D" w14:textId="77777777">
            <w:pPr>
              <w:pStyle w:val="NoSpacing"/>
              <w:rPr>
                <w:rFonts w:ascii="Arial" w:hAnsi="Arial" w:cs="Arial"/>
                <w:b/>
                <w:bCs/>
                <w:sz w:val="20"/>
                <w:szCs w:val="20"/>
              </w:rPr>
            </w:pPr>
            <w:r w:rsidRPr="005A2497">
              <w:rPr>
                <w:rFonts w:ascii="Arial" w:hAnsi="Arial" w:cs="Arial"/>
                <w:b/>
                <w:bCs/>
                <w:sz w:val="20"/>
                <w:szCs w:val="20"/>
              </w:rPr>
              <w:t>Criteria</w:t>
            </w:r>
          </w:p>
        </w:tc>
        <w:tc>
          <w:tcPr>
            <w:tcW w:w="1985" w:type="dxa"/>
            <w:shd w:val="clear" w:color="auto" w:fill="66B0AB"/>
          </w:tcPr>
          <w:p w:rsidRPr="005A2497" w:rsidR="000D2E30" w:rsidP="00843326" w:rsidRDefault="000D2E30" w14:paraId="006CE604" w14:textId="77777777">
            <w:pPr>
              <w:pStyle w:val="NoSpacing"/>
              <w:rPr>
                <w:rFonts w:ascii="Arial" w:hAnsi="Arial" w:cs="Arial"/>
                <w:b/>
                <w:bCs/>
                <w:sz w:val="20"/>
                <w:szCs w:val="20"/>
              </w:rPr>
            </w:pPr>
            <w:r w:rsidRPr="005A2497">
              <w:rPr>
                <w:rFonts w:ascii="Arial" w:hAnsi="Arial" w:cs="Arial"/>
                <w:b/>
                <w:bCs/>
                <w:sz w:val="20"/>
                <w:szCs w:val="20"/>
              </w:rPr>
              <w:t>Rating</w:t>
            </w:r>
          </w:p>
        </w:tc>
      </w:tr>
      <w:tr w:rsidRPr="005A2497" w:rsidR="000D2E30" w:rsidTr="4C30C4F4" w14:paraId="0459CBA5" w14:textId="77777777">
        <w:tc>
          <w:tcPr>
            <w:tcW w:w="3539" w:type="dxa"/>
            <w:shd w:val="clear" w:color="auto" w:fill="66B0AB"/>
          </w:tcPr>
          <w:p w:rsidRPr="005A2497" w:rsidR="000D2E30" w:rsidP="00843326" w:rsidRDefault="000D2E30" w14:paraId="3ACD0E77" w14:textId="77777777">
            <w:pPr>
              <w:pStyle w:val="NoSpacing"/>
              <w:rPr>
                <w:rFonts w:ascii="Arial" w:hAnsi="Arial" w:cs="Arial"/>
                <w:sz w:val="20"/>
                <w:szCs w:val="20"/>
              </w:rPr>
            </w:pPr>
            <w:r w:rsidRPr="005A2497">
              <w:rPr>
                <w:rFonts w:ascii="Arial" w:hAnsi="Arial" w:cs="Arial"/>
                <w:sz w:val="20"/>
                <w:szCs w:val="20"/>
              </w:rPr>
              <w:t>Financial Benefits</w:t>
            </w:r>
          </w:p>
        </w:tc>
        <w:tc>
          <w:tcPr>
            <w:tcW w:w="1985" w:type="dxa"/>
          </w:tcPr>
          <w:p w:rsidRPr="005A2497" w:rsidR="000D2E30" w:rsidP="4C30C4F4" w:rsidRDefault="71A530DB" w14:paraId="67B0CA9D" w14:textId="16586157">
            <w:pPr>
              <w:pStyle w:val="NoSpacing"/>
              <w:rPr>
                <w:rFonts w:ascii="Arial" w:hAnsi="Arial" w:cs="Arial"/>
                <w:i/>
                <w:iCs/>
                <w:sz w:val="20"/>
                <w:szCs w:val="20"/>
              </w:rPr>
            </w:pPr>
            <w:r w:rsidRPr="4C30C4F4">
              <w:rPr>
                <w:rFonts w:ascii="Arial" w:hAnsi="Arial" w:cs="Arial"/>
                <w:i/>
                <w:iCs/>
                <w:sz w:val="20"/>
                <w:szCs w:val="20"/>
              </w:rPr>
              <w:t>£</w:t>
            </w:r>
            <w:r w:rsidRPr="4C30C4F4" w:rsidR="04527FD0">
              <w:rPr>
                <w:rFonts w:ascii="Arial" w:hAnsi="Arial" w:cs="Arial"/>
                <w:i/>
                <w:iCs/>
                <w:sz w:val="20"/>
                <w:szCs w:val="20"/>
              </w:rPr>
              <w:t>6,955, 623</w:t>
            </w:r>
          </w:p>
        </w:tc>
      </w:tr>
      <w:tr w:rsidRPr="005A2497" w:rsidR="000D2E30" w:rsidTr="4C30C4F4" w14:paraId="2CADB1B3" w14:textId="77777777">
        <w:tc>
          <w:tcPr>
            <w:tcW w:w="3539" w:type="dxa"/>
            <w:shd w:val="clear" w:color="auto" w:fill="66B0AB"/>
          </w:tcPr>
          <w:p w:rsidRPr="005A2497" w:rsidR="000D2E30" w:rsidP="00843326" w:rsidRDefault="005562B4" w14:paraId="03E62DEB" w14:textId="0CE9B7A4">
            <w:pPr>
              <w:pStyle w:val="NoSpacing"/>
              <w:rPr>
                <w:rFonts w:ascii="Arial" w:hAnsi="Arial" w:cs="Arial"/>
                <w:sz w:val="20"/>
                <w:szCs w:val="20"/>
              </w:rPr>
            </w:pPr>
            <w:r w:rsidRPr="434F4860">
              <w:rPr>
                <w:rFonts w:ascii="Arial" w:hAnsi="Arial" w:cs="Arial"/>
                <w:sz w:val="20"/>
                <w:szCs w:val="20"/>
              </w:rPr>
              <w:t>Effort / Eas</w:t>
            </w:r>
            <w:r w:rsidRPr="434F4860" w:rsidR="274B255E">
              <w:rPr>
                <w:rFonts w:ascii="Arial" w:hAnsi="Arial" w:cs="Arial"/>
                <w:sz w:val="20"/>
                <w:szCs w:val="20"/>
              </w:rPr>
              <w:t>e</w:t>
            </w:r>
            <w:r w:rsidRPr="434F4860">
              <w:rPr>
                <w:rFonts w:ascii="Arial" w:hAnsi="Arial" w:cs="Arial"/>
                <w:sz w:val="20"/>
                <w:szCs w:val="20"/>
              </w:rPr>
              <w:t xml:space="preserve"> of Implementation</w:t>
            </w:r>
          </w:p>
        </w:tc>
        <w:tc>
          <w:tcPr>
            <w:tcW w:w="1985" w:type="dxa"/>
          </w:tcPr>
          <w:p w:rsidRPr="005A2497" w:rsidR="000D2E30" w:rsidP="5BFFD548" w:rsidRDefault="68C6D036" w14:paraId="307C53F5" w14:textId="6856B651">
            <w:pPr>
              <w:pStyle w:val="NoSpacing"/>
              <w:rPr>
                <w:rFonts w:ascii="Arial" w:hAnsi="Arial" w:cs="Arial"/>
                <w:i/>
                <w:iCs/>
                <w:sz w:val="20"/>
                <w:szCs w:val="20"/>
              </w:rPr>
            </w:pPr>
            <w:r w:rsidRPr="5BFFD548">
              <w:rPr>
                <w:rFonts w:ascii="Arial" w:hAnsi="Arial" w:cs="Arial"/>
                <w:i/>
                <w:iCs/>
                <w:sz w:val="20"/>
                <w:szCs w:val="20"/>
              </w:rPr>
              <w:t>3</w:t>
            </w:r>
          </w:p>
        </w:tc>
      </w:tr>
      <w:tr w:rsidRPr="005A2497" w:rsidR="00160958" w:rsidTr="4C30C4F4" w14:paraId="05C8E232" w14:textId="77777777">
        <w:tc>
          <w:tcPr>
            <w:tcW w:w="3539" w:type="dxa"/>
            <w:shd w:val="clear" w:color="auto" w:fill="66B0AB"/>
          </w:tcPr>
          <w:p w:rsidRPr="005A2497" w:rsidR="00160958" w:rsidP="00843326" w:rsidRDefault="00160958" w14:paraId="1E86F5BF" w14:textId="16DE1C25">
            <w:pPr>
              <w:pStyle w:val="NoSpacing"/>
              <w:rPr>
                <w:rFonts w:ascii="Arial" w:hAnsi="Arial" w:cs="Arial"/>
                <w:sz w:val="20"/>
                <w:szCs w:val="20"/>
              </w:rPr>
            </w:pPr>
            <w:r w:rsidRPr="005A2497">
              <w:rPr>
                <w:rFonts w:ascii="Arial" w:hAnsi="Arial" w:cs="Arial"/>
                <w:sz w:val="20"/>
                <w:szCs w:val="20"/>
              </w:rPr>
              <w:t>Impact (financial and non-financial)</w:t>
            </w:r>
          </w:p>
        </w:tc>
        <w:tc>
          <w:tcPr>
            <w:tcW w:w="1985" w:type="dxa"/>
          </w:tcPr>
          <w:p w:rsidRPr="005A2497" w:rsidR="00160958" w:rsidP="1C8BC47B" w:rsidRDefault="1FAB43AE" w14:paraId="3A8E726F" w14:textId="77C29D78">
            <w:pPr>
              <w:pStyle w:val="NoSpacing"/>
              <w:rPr>
                <w:rFonts w:ascii="Arial" w:hAnsi="Arial" w:cs="Arial"/>
                <w:i/>
                <w:iCs/>
                <w:sz w:val="20"/>
                <w:szCs w:val="20"/>
              </w:rPr>
            </w:pPr>
            <w:r w:rsidRPr="1C8BC47B">
              <w:rPr>
                <w:rFonts w:ascii="Arial" w:hAnsi="Arial" w:cs="Arial"/>
                <w:i/>
                <w:iCs/>
                <w:sz w:val="20"/>
                <w:szCs w:val="20"/>
              </w:rPr>
              <w:t>4</w:t>
            </w:r>
          </w:p>
        </w:tc>
      </w:tr>
    </w:tbl>
    <w:p w:rsidRPr="005A2497" w:rsidR="004A1720" w:rsidP="00843326" w:rsidRDefault="004A1720" w14:paraId="18E6866F" w14:textId="77777777">
      <w:pPr>
        <w:pStyle w:val="NoSpacing"/>
        <w:rPr>
          <w:rFonts w:ascii="Arial" w:hAnsi="Arial" w:cs="Arial"/>
          <w:sz w:val="20"/>
          <w:szCs w:val="20"/>
        </w:rPr>
      </w:pPr>
    </w:p>
    <w:p w:rsidRPr="00035CB3" w:rsidR="00571824" w:rsidP="00035CB3" w:rsidRDefault="00571824" w14:paraId="5EC007D8" w14:textId="77777777">
      <w:pPr>
        <w:pStyle w:val="NoSpacing"/>
        <w:shd w:val="clear" w:color="auto" w:fill="7030A0"/>
        <w:rPr>
          <w:rFonts w:ascii="Arial" w:hAnsi="Arial" w:cs="Arial"/>
          <w:b/>
          <w:bCs/>
          <w:color w:val="FFFFFF" w:themeColor="background1"/>
          <w:sz w:val="20"/>
          <w:szCs w:val="20"/>
        </w:rPr>
      </w:pPr>
      <w:r w:rsidRPr="00035CB3">
        <w:rPr>
          <w:rFonts w:ascii="Arial" w:hAnsi="Arial" w:cs="Arial"/>
          <w:b/>
          <w:bCs/>
          <w:color w:val="FFFFFF" w:themeColor="background1"/>
          <w:sz w:val="20"/>
          <w:szCs w:val="20"/>
        </w:rPr>
        <w:t>Financial Delivery</w:t>
      </w:r>
    </w:p>
    <w:p w:rsidRPr="005A2497" w:rsidR="00BC7856" w:rsidP="5242BC59" w:rsidRDefault="18801D22" w14:paraId="5EBDB5B1" w14:textId="1F4E2114">
      <w:pPr>
        <w:pStyle w:val="NoSpacing"/>
        <w:rPr>
          <w:rFonts w:ascii="Arial" w:hAnsi="Arial" w:eastAsia="Arial" w:cs="Arial"/>
          <w:color w:val="000000" w:themeColor="text1"/>
          <w:sz w:val="20"/>
          <w:szCs w:val="20"/>
        </w:rPr>
      </w:pPr>
      <w:r w:rsidRPr="5242BC59">
        <w:rPr>
          <w:rFonts w:ascii="Arial" w:hAnsi="Arial" w:eastAsia="Arial" w:cs="Arial"/>
          <w:color w:val="000000" w:themeColor="text1"/>
          <w:sz w:val="20"/>
          <w:szCs w:val="20"/>
        </w:rPr>
        <w:t xml:space="preserve">One off Investment required and </w:t>
      </w:r>
      <w:proofErr w:type="gramStart"/>
      <w:r w:rsidRPr="5242BC59">
        <w:rPr>
          <w:rFonts w:ascii="Arial" w:hAnsi="Arial" w:eastAsia="Arial" w:cs="Arial"/>
          <w:color w:val="000000" w:themeColor="text1"/>
          <w:sz w:val="20"/>
          <w:szCs w:val="20"/>
        </w:rPr>
        <w:t>savings</w:t>
      </w:r>
      <w:proofErr w:type="gramEnd"/>
      <w:r w:rsidRPr="5242BC59">
        <w:rPr>
          <w:rFonts w:ascii="Arial" w:hAnsi="Arial" w:eastAsia="Arial" w:cs="Arial"/>
          <w:color w:val="000000" w:themeColor="text1"/>
          <w:sz w:val="20"/>
          <w:szCs w:val="20"/>
        </w:rPr>
        <w:t xml:space="preserve"> </w:t>
      </w:r>
    </w:p>
    <w:tbl>
      <w:tblPr>
        <w:tblStyle w:val="TableGrid"/>
        <w:tblW w:w="9016"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056"/>
        <w:gridCol w:w="1416"/>
        <w:gridCol w:w="1416"/>
        <w:gridCol w:w="1416"/>
        <w:gridCol w:w="1215"/>
        <w:gridCol w:w="1497"/>
      </w:tblGrid>
      <w:tr w:rsidR="5242BC59" w:rsidTr="58B673BF" w14:paraId="3102AEF1"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08405C99" w14:textId="1FC33C0E">
            <w:pPr>
              <w:rPr>
                <w:rFonts w:ascii="Arial" w:hAnsi="Arial" w:eastAsia="Arial" w:cs="Arial"/>
                <w:sz w:val="20"/>
                <w:szCs w:val="20"/>
              </w:rPr>
            </w:pPr>
            <w:r w:rsidRPr="5242BC59">
              <w:rPr>
                <w:rFonts w:ascii="Arial" w:hAnsi="Arial" w:eastAsia="Arial" w:cs="Arial"/>
                <w:b/>
                <w:bCs/>
                <w:sz w:val="20"/>
                <w:szCs w:val="20"/>
              </w:rPr>
              <w:t xml:space="preserve"> </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494D18CC" w14:textId="660F7EF4">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23/24</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52FDABE8" w14:textId="460BF9BB">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24/25</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7A308D90" w14:textId="05EC569B">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25/26</w:t>
            </w:r>
          </w:p>
        </w:tc>
        <w:tc>
          <w:tcPr>
            <w:tcW w:w="1215"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654B653A" w14:textId="22F5A7B3">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26/27</w:t>
            </w:r>
          </w:p>
        </w:tc>
        <w:tc>
          <w:tcPr>
            <w:tcW w:w="1497"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586BA581" w14:textId="36941217">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Total</w:t>
            </w:r>
          </w:p>
        </w:tc>
      </w:tr>
      <w:tr w:rsidR="5242BC59" w:rsidTr="58B673BF" w14:paraId="6CBA5489"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074E87EF" w14:textId="2FCB6A47">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One-off Investment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242BC59" w:rsidRDefault="52493A21" w14:paraId="647E624E" w14:textId="66605E09">
            <w:pPr>
              <w:rPr>
                <w:rFonts w:ascii="Arial" w:hAnsi="Arial" w:eastAsia="Arial" w:cs="Arial"/>
                <w:sz w:val="20"/>
                <w:szCs w:val="20"/>
              </w:rPr>
            </w:pPr>
            <w:r w:rsidRPr="58B673BF">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8B673BF" w:rsidRDefault="52493A21" w14:paraId="06D5EDD1" w14:textId="2569CA16">
            <w:r w:rsidRPr="58B673BF">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8B673BF" w:rsidRDefault="52493A21" w14:paraId="6CAF25C8" w14:textId="37039BEF">
            <w:r w:rsidRPr="58B673BF">
              <w:rPr>
                <w:rFonts w:ascii="Arial" w:hAnsi="Arial" w:eastAsia="Arial" w:cs="Arial"/>
                <w:sz w:val="20"/>
                <w:szCs w:val="20"/>
              </w:rPr>
              <w:t>-</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8B673BF" w:rsidRDefault="52493A21" w14:paraId="5C8FD76F" w14:textId="7872868D">
            <w:r w:rsidRPr="58B673BF">
              <w:rPr>
                <w:rFonts w:ascii="Arial" w:hAnsi="Arial" w:eastAsia="Arial" w:cs="Arial"/>
                <w:sz w:val="20"/>
                <w:szCs w:val="20"/>
              </w:rPr>
              <w:t>-</w:t>
            </w:r>
          </w:p>
        </w:tc>
        <w:tc>
          <w:tcPr>
            <w:tcW w:w="1497"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8B673BF" w:rsidRDefault="52493A21" w14:paraId="24F580C3" w14:textId="3CC8C42A">
            <w:r w:rsidRPr="58B673BF">
              <w:rPr>
                <w:rFonts w:ascii="Arial" w:hAnsi="Arial" w:eastAsia="Arial" w:cs="Arial"/>
                <w:sz w:val="20"/>
                <w:szCs w:val="20"/>
              </w:rPr>
              <w:t>-</w:t>
            </w:r>
          </w:p>
        </w:tc>
      </w:tr>
      <w:tr w:rsidR="5242BC59" w:rsidTr="58B673BF" w14:paraId="14C5CF93" w14:textId="77777777">
        <w:trPr>
          <w:trHeight w:val="270"/>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304DD46B" w14:textId="230A0C44">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One-off Savings</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8B673BF" w:rsidRDefault="6F838E96" w14:paraId="6175C6AF" w14:textId="0522211A">
            <w:r w:rsidRPr="58B673BF">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6F838E96" w14:paraId="3FBC560C" w14:textId="507A6BF4">
            <w:pPr>
              <w:pStyle w:val="NoSpacing"/>
              <w:rPr>
                <w:rFonts w:ascii="Arial" w:hAnsi="Arial" w:cs="Arial"/>
                <w:sz w:val="20"/>
                <w:szCs w:val="20"/>
              </w:rPr>
            </w:pPr>
            <w:r w:rsidRPr="58B673BF">
              <w:rPr>
                <w:rFonts w:ascii="Arial" w:hAnsi="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6F838E96" w14:paraId="359E5FDC" w14:textId="71F9BD23">
            <w:pPr>
              <w:pStyle w:val="NoSpacing"/>
              <w:rPr>
                <w:rFonts w:ascii="Arial" w:hAnsi="Arial" w:cs="Arial"/>
                <w:sz w:val="20"/>
                <w:szCs w:val="20"/>
              </w:rPr>
            </w:pPr>
            <w:r w:rsidRPr="58B673BF">
              <w:rPr>
                <w:rFonts w:ascii="Arial" w:hAnsi="Arial" w:cs="Arial"/>
                <w:sz w:val="20"/>
                <w:szCs w:val="20"/>
              </w:rPr>
              <w:t>-</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6F838E96" w14:paraId="75C79EA2" w14:textId="30C79C18">
            <w:pPr>
              <w:pStyle w:val="NoSpacing"/>
              <w:rPr>
                <w:rFonts w:ascii="Arial" w:hAnsi="Arial" w:cs="Arial"/>
                <w:sz w:val="20"/>
                <w:szCs w:val="20"/>
              </w:rPr>
            </w:pPr>
            <w:r w:rsidRPr="58B673BF">
              <w:rPr>
                <w:rFonts w:ascii="Arial" w:hAnsi="Arial" w:cs="Arial"/>
                <w:sz w:val="20"/>
                <w:szCs w:val="20"/>
              </w:rPr>
              <w:t>-</w:t>
            </w:r>
          </w:p>
        </w:tc>
        <w:tc>
          <w:tcPr>
            <w:tcW w:w="1497"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6F838E96" w14:paraId="71339D9A" w14:textId="53B02017">
            <w:pPr>
              <w:pStyle w:val="NoSpacing"/>
              <w:rPr>
                <w:rFonts w:ascii="Arial" w:hAnsi="Arial" w:cs="Arial"/>
                <w:sz w:val="20"/>
                <w:szCs w:val="20"/>
              </w:rPr>
            </w:pPr>
            <w:r w:rsidRPr="58B673BF">
              <w:rPr>
                <w:rFonts w:ascii="Arial" w:hAnsi="Arial" w:cs="Arial"/>
                <w:sz w:val="20"/>
                <w:szCs w:val="20"/>
              </w:rPr>
              <w:t>-</w:t>
            </w:r>
          </w:p>
        </w:tc>
      </w:tr>
    </w:tbl>
    <w:p w:rsidRPr="005A2497" w:rsidR="00BC7856" w:rsidP="5242BC59" w:rsidRDefault="18801D22" w14:paraId="02BCC5D2" w14:textId="4AF8B8CF">
      <w:pPr>
        <w:rPr>
          <w:rFonts w:ascii="Arial" w:hAnsi="Arial" w:eastAsia="Arial" w:cs="Arial"/>
          <w:color w:val="000000" w:themeColor="text1"/>
          <w:sz w:val="20"/>
          <w:szCs w:val="20"/>
        </w:rPr>
      </w:pPr>
      <w:r w:rsidRPr="5242BC59">
        <w:rPr>
          <w:rFonts w:ascii="Arial" w:hAnsi="Arial" w:eastAsia="Arial" w:cs="Arial"/>
          <w:color w:val="000000" w:themeColor="text1"/>
          <w:sz w:val="20"/>
          <w:szCs w:val="20"/>
        </w:rPr>
        <w:t xml:space="preserve"> </w:t>
      </w:r>
    </w:p>
    <w:p w:rsidRPr="005A2497" w:rsidR="00BC7856" w:rsidP="5242BC59" w:rsidRDefault="18801D22" w14:paraId="51BA7686" w14:textId="57F84E36">
      <w:pPr>
        <w:rPr>
          <w:rFonts w:ascii="Arial" w:hAnsi="Arial" w:eastAsia="Arial" w:cs="Arial"/>
          <w:color w:val="000000" w:themeColor="text1"/>
          <w:sz w:val="20"/>
          <w:szCs w:val="20"/>
        </w:rPr>
      </w:pPr>
      <w:r w:rsidRPr="5242BC59">
        <w:rPr>
          <w:rFonts w:ascii="Arial" w:hAnsi="Arial" w:eastAsia="Arial" w:cs="Arial"/>
          <w:color w:val="000000" w:themeColor="text1"/>
          <w:sz w:val="20"/>
          <w:szCs w:val="20"/>
        </w:rPr>
        <w:t xml:space="preserve">Ongoing investments and savings </w:t>
      </w:r>
    </w:p>
    <w:tbl>
      <w:tblPr>
        <w:tblStyle w:val="TableGrid"/>
        <w:tblW w:w="9016"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056"/>
        <w:gridCol w:w="1416"/>
        <w:gridCol w:w="1416"/>
        <w:gridCol w:w="1416"/>
        <w:gridCol w:w="1260"/>
        <w:gridCol w:w="1452"/>
      </w:tblGrid>
      <w:tr w:rsidR="5242BC59" w:rsidTr="4C30C4F4" w14:paraId="2ACA6A21"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1F2AE8ED" w14:textId="4D35BD2C">
            <w:pPr>
              <w:rPr>
                <w:rFonts w:ascii="Arial" w:hAnsi="Arial" w:eastAsia="Arial" w:cs="Arial"/>
                <w:sz w:val="20"/>
                <w:szCs w:val="20"/>
              </w:rPr>
            </w:pPr>
            <w:r w:rsidRPr="5242BC59">
              <w:rPr>
                <w:rFonts w:ascii="Arial" w:hAnsi="Arial" w:eastAsia="Arial" w:cs="Arial"/>
                <w:b/>
                <w:bCs/>
                <w:sz w:val="20"/>
                <w:szCs w:val="20"/>
              </w:rPr>
              <w:t xml:space="preserve"> </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620D7B68" w14:textId="63F3367B">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23/24</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052BF7CE" w14:textId="68BAD02F">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24/25</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0B4A0A9C" w14:textId="294AFD5B">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25/26</w:t>
            </w:r>
          </w:p>
        </w:tc>
        <w:tc>
          <w:tcPr>
            <w:tcW w:w="1260"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5933CDD1" w14:textId="43F17DE2">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26/27</w:t>
            </w:r>
          </w:p>
        </w:tc>
        <w:tc>
          <w:tcPr>
            <w:tcW w:w="1452"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1BAA85F7" w14:textId="60DF17B1">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Total</w:t>
            </w:r>
          </w:p>
        </w:tc>
      </w:tr>
      <w:tr w:rsidR="5242BC59" w:rsidTr="4C30C4F4" w14:paraId="3E4B9687"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25B82271" w14:textId="19D69F38">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Recurring Investment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242BC59" w:rsidRDefault="4AF4F999" w14:paraId="2A596C3E" w14:textId="646749FA">
            <w:pPr>
              <w:rPr>
                <w:rFonts w:ascii="Arial" w:hAnsi="Arial" w:eastAsia="Arial" w:cs="Arial"/>
                <w:sz w:val="20"/>
                <w:szCs w:val="20"/>
              </w:rPr>
            </w:pPr>
            <w:r w:rsidRPr="58B673BF">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8B673BF" w:rsidRDefault="4AF4F999" w14:paraId="57D06268" w14:textId="678C6C9E">
            <w:r w:rsidRPr="58B673BF">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8B673BF" w:rsidRDefault="4AF4F999" w14:paraId="32409CA3" w14:textId="4B5E05F2">
            <w:r w:rsidRPr="58B673BF">
              <w:rPr>
                <w:rFonts w:ascii="Arial" w:hAnsi="Arial" w:eastAsia="Arial" w:cs="Arial"/>
                <w:sz w:val="20"/>
                <w:szCs w:val="20"/>
              </w:rPr>
              <w:t>-</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8B673BF" w:rsidRDefault="4AF4F999" w14:paraId="4BE02013" w14:textId="710AC8A4">
            <w:r w:rsidRPr="58B673BF">
              <w:rPr>
                <w:rFonts w:ascii="Arial" w:hAnsi="Arial" w:eastAsia="Arial" w:cs="Arial"/>
                <w:sz w:val="20"/>
                <w:szCs w:val="20"/>
              </w:rPr>
              <w:t>-</w:t>
            </w:r>
          </w:p>
        </w:tc>
        <w:tc>
          <w:tcPr>
            <w:tcW w:w="1452"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8B673BF" w:rsidRDefault="4AF4F999" w14:paraId="59287DE0" w14:textId="03F438D2">
            <w:r w:rsidRPr="58B673BF">
              <w:rPr>
                <w:rFonts w:ascii="Arial" w:hAnsi="Arial" w:eastAsia="Arial" w:cs="Arial"/>
                <w:sz w:val="20"/>
                <w:szCs w:val="20"/>
              </w:rPr>
              <w:t>-</w:t>
            </w:r>
          </w:p>
        </w:tc>
      </w:tr>
      <w:tr w:rsidR="71E49B66" w:rsidTr="71E49B66" w14:paraId="26DC2715" w14:textId="77777777">
        <w:trPr>
          <w:trHeight w:val="270"/>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4A1794A6" w:rsidP="71E49B66" w:rsidRDefault="4A1794A6" w14:paraId="076E0CEC" w14:textId="7B263E1E">
            <w:pPr>
              <w:rPr>
                <w:rFonts w:ascii="Arial" w:hAnsi="Arial" w:eastAsia="Arial" w:cs="Arial"/>
                <w:b/>
                <w:bCs/>
                <w:color w:val="000000" w:themeColor="text1"/>
                <w:sz w:val="20"/>
                <w:szCs w:val="20"/>
              </w:rPr>
            </w:pPr>
            <w:r w:rsidRPr="71E49B66">
              <w:rPr>
                <w:rFonts w:ascii="Arial" w:hAnsi="Arial" w:eastAsia="Arial" w:cs="Arial"/>
                <w:b/>
                <w:bCs/>
                <w:color w:val="000000" w:themeColor="text1"/>
                <w:sz w:val="20"/>
                <w:szCs w:val="20"/>
              </w:rPr>
              <w:t>One-off P-Card Savings</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2F3B181B" w:rsidP="71E49B66" w:rsidRDefault="2F3B181B" w14:paraId="181D0185" w14:textId="348F9D32">
            <w:pPr>
              <w:rPr>
                <w:rFonts w:ascii="Arial" w:hAnsi="Arial" w:eastAsia="Arial" w:cs="Arial"/>
                <w:sz w:val="20"/>
                <w:szCs w:val="20"/>
              </w:rPr>
            </w:pPr>
            <w:r w:rsidRPr="71E49B66">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B1E3111" w:rsidP="71E49B66" w:rsidRDefault="5B1E3111" w14:paraId="7E1FCEBE" w14:textId="196D5D41">
            <w:pPr>
              <w:pStyle w:val="NoSpacing"/>
              <w:rPr>
                <w:rFonts w:ascii="Arial" w:hAnsi="Arial" w:cs="Arial"/>
                <w:sz w:val="20"/>
                <w:szCs w:val="20"/>
              </w:rPr>
            </w:pPr>
            <w:r w:rsidRPr="71E49B66">
              <w:rPr>
                <w:rFonts w:ascii="Arial" w:hAnsi="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48ABAE28" w:rsidP="71E49B66" w:rsidRDefault="48ABAE28" w14:paraId="134D7232" w14:textId="0C0B1B22">
            <w:pPr>
              <w:pStyle w:val="NoSpacing"/>
              <w:rPr>
                <w:rFonts w:ascii="Arial" w:hAnsi="Arial" w:cs="Arial"/>
                <w:sz w:val="20"/>
                <w:szCs w:val="20"/>
              </w:rPr>
            </w:pPr>
            <w:r w:rsidRPr="71E49B66">
              <w:rPr>
                <w:rFonts w:ascii="Arial" w:hAnsi="Arial" w:cs="Arial"/>
                <w:sz w:val="20"/>
                <w:szCs w:val="20"/>
              </w:rPr>
              <w:t>£47,244</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55026F2B" w:rsidP="71E49B66" w:rsidRDefault="55026F2B" w14:paraId="36B274EF" w14:textId="6B68DC35">
            <w:pPr>
              <w:pStyle w:val="NoSpacing"/>
              <w:rPr>
                <w:rFonts w:ascii="Arial" w:hAnsi="Arial" w:cs="Arial"/>
                <w:sz w:val="20"/>
                <w:szCs w:val="20"/>
              </w:rPr>
            </w:pPr>
            <w:r w:rsidRPr="71E49B66">
              <w:rPr>
                <w:rFonts w:ascii="Arial" w:hAnsi="Arial" w:cs="Arial"/>
                <w:sz w:val="20"/>
                <w:szCs w:val="20"/>
              </w:rPr>
              <w:t>-</w:t>
            </w:r>
          </w:p>
        </w:tc>
        <w:tc>
          <w:tcPr>
            <w:tcW w:w="1452" w:type="dxa"/>
            <w:tcBorders>
              <w:top w:val="single" w:color="auto" w:sz="6" w:space="0"/>
              <w:left w:val="single" w:color="auto" w:sz="6" w:space="0"/>
              <w:bottom w:val="single" w:color="auto" w:sz="6" w:space="0"/>
              <w:right w:val="single" w:color="auto" w:sz="6" w:space="0"/>
            </w:tcBorders>
            <w:tcMar>
              <w:left w:w="105" w:type="dxa"/>
              <w:right w:w="105" w:type="dxa"/>
            </w:tcMar>
          </w:tcPr>
          <w:p w:rsidR="46B88EE3" w:rsidP="71E49B66" w:rsidRDefault="46B88EE3" w14:paraId="3A8338FE" w14:textId="5854F6C2">
            <w:pPr>
              <w:pStyle w:val="NoSpacing"/>
              <w:rPr>
                <w:rFonts w:ascii="Arial" w:hAnsi="Arial" w:cs="Arial"/>
                <w:sz w:val="20"/>
                <w:szCs w:val="20"/>
              </w:rPr>
            </w:pPr>
            <w:r w:rsidRPr="71E49B66">
              <w:rPr>
                <w:rFonts w:ascii="Arial" w:hAnsi="Arial" w:cs="Arial"/>
                <w:sz w:val="20"/>
                <w:szCs w:val="20"/>
              </w:rPr>
              <w:t>£47,244</w:t>
            </w:r>
          </w:p>
        </w:tc>
      </w:tr>
      <w:tr w:rsidR="71E49B66" w:rsidTr="71E49B66" w14:paraId="222A6A23" w14:textId="77777777">
        <w:trPr>
          <w:trHeight w:val="270"/>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4A1794A6" w:rsidP="71E49B66" w:rsidRDefault="4A1794A6" w14:paraId="426B3091" w14:textId="6B31AC2D">
            <w:pPr>
              <w:rPr>
                <w:rFonts w:ascii="Arial" w:hAnsi="Arial" w:eastAsia="Arial" w:cs="Arial"/>
                <w:b/>
                <w:bCs/>
                <w:color w:val="000000" w:themeColor="text1"/>
                <w:sz w:val="20"/>
                <w:szCs w:val="20"/>
              </w:rPr>
            </w:pPr>
            <w:r w:rsidRPr="71E49B66">
              <w:rPr>
                <w:rFonts w:ascii="Arial" w:hAnsi="Arial" w:eastAsia="Arial" w:cs="Arial"/>
                <w:b/>
                <w:bCs/>
                <w:color w:val="000000" w:themeColor="text1"/>
                <w:sz w:val="20"/>
                <w:szCs w:val="20"/>
              </w:rPr>
              <w:t>Recurring Tail-spend Cost Savings</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2F3B181B" w:rsidP="71E49B66" w:rsidRDefault="2F3B181B" w14:paraId="5346E5CD" w14:textId="799C47E6">
            <w:pPr>
              <w:rPr>
                <w:rFonts w:ascii="Arial" w:hAnsi="Arial" w:eastAsia="Arial" w:cs="Arial"/>
                <w:sz w:val="20"/>
                <w:szCs w:val="20"/>
              </w:rPr>
            </w:pPr>
            <w:r w:rsidRPr="71E49B66">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B1E3111" w:rsidP="71E49B66" w:rsidRDefault="5B1E3111" w14:paraId="5548C54D" w14:textId="0BB47C13">
            <w:pPr>
              <w:pStyle w:val="NoSpacing"/>
              <w:rPr>
                <w:rFonts w:ascii="Arial" w:hAnsi="Arial" w:cs="Arial"/>
                <w:sz w:val="20"/>
                <w:szCs w:val="20"/>
              </w:rPr>
            </w:pPr>
            <w:r w:rsidRPr="71E49B66">
              <w:rPr>
                <w:rFonts w:ascii="Arial" w:hAnsi="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2548413B" w:rsidP="71E49B66" w:rsidRDefault="2548413B" w14:paraId="4E2EA8F5" w14:textId="78F28159">
            <w:pPr>
              <w:pStyle w:val="NoSpacing"/>
              <w:rPr>
                <w:rFonts w:ascii="Arial" w:hAnsi="Arial" w:cs="Arial"/>
                <w:sz w:val="20"/>
                <w:szCs w:val="20"/>
              </w:rPr>
            </w:pPr>
            <w:r w:rsidRPr="71E49B66">
              <w:rPr>
                <w:rFonts w:ascii="Arial" w:hAnsi="Arial" w:cs="Arial"/>
                <w:sz w:val="20"/>
                <w:szCs w:val="20"/>
              </w:rPr>
              <w:t>£76,381</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2548413B" w:rsidP="71E49B66" w:rsidRDefault="2548413B" w14:paraId="07BDF50A" w14:textId="470CC1D0">
            <w:pPr>
              <w:pStyle w:val="NoSpacing"/>
              <w:rPr>
                <w:rFonts w:ascii="Arial" w:hAnsi="Arial" w:cs="Arial"/>
                <w:sz w:val="20"/>
                <w:szCs w:val="20"/>
              </w:rPr>
            </w:pPr>
            <w:r w:rsidRPr="71E49B66">
              <w:rPr>
                <w:rFonts w:ascii="Arial" w:hAnsi="Arial" w:cs="Arial"/>
                <w:sz w:val="20"/>
                <w:szCs w:val="20"/>
              </w:rPr>
              <w:t>£76,381</w:t>
            </w:r>
          </w:p>
        </w:tc>
        <w:tc>
          <w:tcPr>
            <w:tcW w:w="1452" w:type="dxa"/>
            <w:tcBorders>
              <w:top w:val="single" w:color="auto" w:sz="6" w:space="0"/>
              <w:left w:val="single" w:color="auto" w:sz="6" w:space="0"/>
              <w:bottom w:val="single" w:color="auto" w:sz="6" w:space="0"/>
              <w:right w:val="single" w:color="auto" w:sz="6" w:space="0"/>
            </w:tcBorders>
            <w:tcMar>
              <w:left w:w="105" w:type="dxa"/>
              <w:right w:w="105" w:type="dxa"/>
            </w:tcMar>
          </w:tcPr>
          <w:p w:rsidR="7C453BDE" w:rsidP="71E49B66" w:rsidRDefault="7C453BDE" w14:paraId="5CBBDA50" w14:textId="067C1CE0">
            <w:pPr>
              <w:pStyle w:val="NoSpacing"/>
              <w:rPr>
                <w:rFonts w:ascii="Arial" w:hAnsi="Arial" w:cs="Arial"/>
                <w:sz w:val="20"/>
                <w:szCs w:val="20"/>
              </w:rPr>
            </w:pPr>
            <w:r w:rsidRPr="71E49B66">
              <w:rPr>
                <w:rFonts w:ascii="Arial" w:hAnsi="Arial" w:cs="Arial"/>
                <w:sz w:val="20"/>
                <w:szCs w:val="20"/>
              </w:rPr>
              <w:t>£15</w:t>
            </w:r>
            <w:r w:rsidRPr="71E49B66" w:rsidR="51964F39">
              <w:rPr>
                <w:rFonts w:ascii="Arial" w:hAnsi="Arial" w:cs="Arial"/>
                <w:sz w:val="20"/>
                <w:szCs w:val="20"/>
              </w:rPr>
              <w:t>2,762</w:t>
            </w:r>
          </w:p>
        </w:tc>
      </w:tr>
      <w:tr w:rsidR="5242BC59" w:rsidTr="4C30C4F4" w14:paraId="3AE19D5D" w14:textId="77777777">
        <w:trPr>
          <w:trHeight w:val="270"/>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728A3BB1" w14:textId="1740D9F9">
            <w:pPr>
              <w:rPr>
                <w:rFonts w:ascii="Arial" w:hAnsi="Arial" w:eastAsia="Arial" w:cs="Arial"/>
                <w:b/>
                <w:color w:val="000000" w:themeColor="text1"/>
                <w:sz w:val="20"/>
                <w:szCs w:val="20"/>
              </w:rPr>
            </w:pPr>
            <w:r w:rsidRPr="4C30C4F4">
              <w:rPr>
                <w:rFonts w:ascii="Arial" w:hAnsi="Arial" w:eastAsia="Arial" w:cs="Arial"/>
                <w:b/>
                <w:bCs/>
                <w:color w:val="000000" w:themeColor="text1"/>
                <w:sz w:val="20"/>
                <w:szCs w:val="20"/>
              </w:rPr>
              <w:t xml:space="preserve">Recurring </w:t>
            </w:r>
            <w:r w:rsidRPr="4C30C4F4" w:rsidR="3640897C">
              <w:rPr>
                <w:rFonts w:ascii="Arial" w:hAnsi="Arial" w:eastAsia="Arial" w:cs="Arial"/>
                <w:b/>
                <w:bCs/>
                <w:color w:val="000000" w:themeColor="text1"/>
                <w:sz w:val="20"/>
                <w:szCs w:val="20"/>
              </w:rPr>
              <w:t xml:space="preserve">Cost </w:t>
            </w:r>
            <w:r w:rsidRPr="4C30C4F4">
              <w:rPr>
                <w:rFonts w:ascii="Arial" w:hAnsi="Arial" w:eastAsia="Arial" w:cs="Arial"/>
                <w:b/>
                <w:bCs/>
                <w:color w:val="000000" w:themeColor="text1"/>
                <w:sz w:val="20"/>
                <w:szCs w:val="20"/>
              </w:rPr>
              <w:t>Savings</w:t>
            </w:r>
            <w:r w:rsidRPr="71E49B66" w:rsidR="4C6C815D">
              <w:rPr>
                <w:rFonts w:ascii="Arial" w:hAnsi="Arial" w:eastAsia="Arial" w:cs="Arial"/>
                <w:b/>
                <w:bCs/>
                <w:color w:val="000000" w:themeColor="text1"/>
                <w:sz w:val="20"/>
                <w:szCs w:val="20"/>
              </w:rPr>
              <w:t>- Contract Management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242BC59" w:rsidRDefault="1B9070F7" w14:paraId="452C36D3" w14:textId="3F5A9558">
            <w:pPr>
              <w:rPr>
                <w:rFonts w:ascii="Arial" w:hAnsi="Arial" w:eastAsia="Arial" w:cs="Arial"/>
                <w:sz w:val="20"/>
                <w:szCs w:val="20"/>
              </w:rPr>
            </w:pPr>
            <w:r w:rsidRPr="71E49B66">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1F04496" w:rsidRDefault="296D3BC3" w14:paraId="2C95B479" w14:textId="1761671E">
            <w:pPr>
              <w:pStyle w:val="NoSpacing"/>
              <w:rPr>
                <w:rFonts w:ascii="Arial" w:hAnsi="Arial" w:cs="Arial"/>
                <w:sz w:val="20"/>
                <w:szCs w:val="20"/>
              </w:rPr>
            </w:pPr>
            <w:r w:rsidRPr="4C30C4F4">
              <w:rPr>
                <w:rFonts w:ascii="Arial" w:hAnsi="Arial" w:cs="Arial"/>
                <w:sz w:val="20"/>
                <w:szCs w:val="20"/>
              </w:rPr>
              <w:t>£1,245,</w:t>
            </w:r>
            <w:r w:rsidRPr="71E49B66" w:rsidR="5EFDEB6B">
              <w:rPr>
                <w:rFonts w:ascii="Arial" w:hAnsi="Arial" w:cs="Arial"/>
                <w:sz w:val="20"/>
                <w:szCs w:val="20"/>
              </w:rPr>
              <w:t>3</w:t>
            </w:r>
            <w:r w:rsidR="00F94336">
              <w:rPr>
                <w:rFonts w:ascii="Arial" w:hAnsi="Arial" w:cs="Arial"/>
                <w:sz w:val="20"/>
                <w:szCs w:val="20"/>
              </w:rPr>
              <w:t>5</w:t>
            </w:r>
            <w:r w:rsidRPr="71E49B66" w:rsidR="5EFDEB6B">
              <w:rPr>
                <w:rFonts w:ascii="Arial" w:hAnsi="Arial" w:cs="Arial"/>
                <w:sz w:val="20"/>
                <w:szCs w:val="20"/>
              </w:rPr>
              <w:t>3</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663BF232" w14:paraId="349246BF" w14:textId="0A950DFF">
            <w:pPr>
              <w:pStyle w:val="NoSpacing"/>
              <w:rPr>
                <w:rFonts w:ascii="Arial" w:hAnsi="Arial" w:cs="Arial"/>
                <w:sz w:val="20"/>
                <w:szCs w:val="20"/>
              </w:rPr>
            </w:pPr>
            <w:r w:rsidRPr="71E49B66">
              <w:rPr>
                <w:rFonts w:ascii="Arial" w:hAnsi="Arial" w:cs="Arial"/>
                <w:sz w:val="20"/>
                <w:szCs w:val="20"/>
              </w:rPr>
              <w:t>£</w:t>
            </w:r>
            <w:r w:rsidRPr="71E49B66" w:rsidR="06F324E9">
              <w:rPr>
                <w:rFonts w:ascii="Arial" w:hAnsi="Arial" w:cs="Arial"/>
                <w:sz w:val="20"/>
                <w:szCs w:val="20"/>
              </w:rPr>
              <w:t>2,364,511</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4C30C4F4" w:rsidRDefault="3F867ABA" w14:paraId="3B3F2190" w14:textId="0E136838">
            <w:pPr>
              <w:pStyle w:val="NoSpacing"/>
              <w:rPr>
                <w:rFonts w:ascii="Arial" w:hAnsi="Arial" w:cs="Arial"/>
                <w:sz w:val="20"/>
                <w:szCs w:val="20"/>
              </w:rPr>
            </w:pPr>
            <w:r w:rsidRPr="71E49B66">
              <w:rPr>
                <w:rFonts w:ascii="Arial" w:hAnsi="Arial" w:cs="Arial"/>
                <w:sz w:val="20"/>
                <w:szCs w:val="20"/>
              </w:rPr>
              <w:t>£</w:t>
            </w:r>
            <w:r w:rsidRPr="71E49B66" w:rsidR="65FCAABD">
              <w:rPr>
                <w:rFonts w:ascii="Arial" w:hAnsi="Arial" w:cs="Arial"/>
                <w:sz w:val="20"/>
                <w:szCs w:val="20"/>
              </w:rPr>
              <w:t>2,822,178</w:t>
            </w:r>
          </w:p>
        </w:tc>
        <w:tc>
          <w:tcPr>
            <w:tcW w:w="1452"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4040A519" w14:paraId="7A955A08" w14:textId="0DA814F7">
            <w:pPr>
              <w:pStyle w:val="NoSpacing"/>
              <w:rPr>
                <w:rFonts w:ascii="Arial" w:hAnsi="Arial" w:cs="Arial"/>
                <w:sz w:val="20"/>
                <w:szCs w:val="20"/>
              </w:rPr>
            </w:pPr>
            <w:r w:rsidRPr="71E49B66">
              <w:rPr>
                <w:rFonts w:ascii="Arial" w:hAnsi="Arial" w:cs="Arial"/>
                <w:sz w:val="20"/>
                <w:szCs w:val="20"/>
              </w:rPr>
              <w:t>£</w:t>
            </w:r>
            <w:r w:rsidRPr="71E49B66" w:rsidR="22432C5E">
              <w:rPr>
                <w:rFonts w:ascii="Arial" w:hAnsi="Arial" w:cs="Arial"/>
                <w:sz w:val="20"/>
                <w:szCs w:val="20"/>
              </w:rPr>
              <w:t>6,432,042</w:t>
            </w:r>
          </w:p>
        </w:tc>
      </w:tr>
      <w:tr w:rsidR="4C30C4F4" w:rsidTr="4C30C4F4" w14:paraId="08C49409" w14:textId="77777777">
        <w:trPr>
          <w:trHeight w:val="270"/>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3C9872D6" w:rsidP="4C30C4F4" w:rsidRDefault="3C9872D6" w14:paraId="3481AC07" w14:textId="69599B8C">
            <w:pPr>
              <w:rPr>
                <w:rFonts w:ascii="Arial" w:hAnsi="Arial" w:eastAsia="Arial" w:cs="Arial"/>
                <w:b/>
                <w:bCs/>
                <w:color w:val="000000" w:themeColor="text1"/>
                <w:sz w:val="20"/>
                <w:szCs w:val="20"/>
              </w:rPr>
            </w:pPr>
            <w:r w:rsidRPr="4C30C4F4">
              <w:rPr>
                <w:rFonts w:ascii="Arial" w:hAnsi="Arial" w:eastAsia="Arial" w:cs="Arial"/>
                <w:b/>
                <w:bCs/>
                <w:color w:val="000000" w:themeColor="text1"/>
                <w:sz w:val="20"/>
                <w:szCs w:val="20"/>
              </w:rPr>
              <w:t>Recurring Budget Savings</w:t>
            </w:r>
            <w:r w:rsidRPr="71E49B66" w:rsidR="1582D8FA">
              <w:rPr>
                <w:rFonts w:ascii="Arial" w:hAnsi="Arial" w:eastAsia="Arial" w:cs="Arial"/>
                <w:b/>
                <w:bCs/>
                <w:color w:val="000000" w:themeColor="text1"/>
                <w:sz w:val="20"/>
                <w:szCs w:val="20"/>
              </w:rPr>
              <w:t>- Contract Management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4C30C4F4" w:rsidP="4C30C4F4" w:rsidRDefault="1B9070F7" w14:paraId="6846CF47" w14:textId="79EBD693">
            <w:pPr>
              <w:rPr>
                <w:rFonts w:ascii="Arial" w:hAnsi="Arial" w:eastAsia="Arial" w:cs="Arial"/>
                <w:sz w:val="20"/>
                <w:szCs w:val="20"/>
              </w:rPr>
            </w:pPr>
            <w:r w:rsidRPr="71E49B66">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4C30C4F4" w:rsidP="4C30C4F4" w:rsidRDefault="3C9872D6" w14:paraId="76AC648D" w14:textId="4B0B1A4B">
            <w:pPr>
              <w:pStyle w:val="NoSpacing"/>
              <w:rPr>
                <w:rFonts w:ascii="Arial" w:hAnsi="Arial" w:cs="Arial"/>
                <w:sz w:val="20"/>
                <w:szCs w:val="20"/>
              </w:rPr>
            </w:pPr>
            <w:r w:rsidRPr="4C30C4F4">
              <w:rPr>
                <w:rFonts w:ascii="Arial" w:hAnsi="Arial" w:cs="Arial"/>
                <w:sz w:val="20"/>
                <w:szCs w:val="20"/>
              </w:rPr>
              <w:t>£1,120,183</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4F4974BA" w:rsidP="4C30C4F4" w:rsidRDefault="121F0B29" w14:paraId="24A2DB2F" w14:textId="178E9310">
            <w:pPr>
              <w:pStyle w:val="NoSpacing"/>
              <w:rPr>
                <w:rFonts w:ascii="Arial" w:hAnsi="Arial" w:cs="Arial"/>
                <w:sz w:val="20"/>
                <w:szCs w:val="20"/>
              </w:rPr>
            </w:pPr>
            <w:r w:rsidRPr="71E49B66">
              <w:rPr>
                <w:rFonts w:ascii="Arial" w:hAnsi="Arial" w:cs="Arial"/>
                <w:sz w:val="20"/>
                <w:szCs w:val="20"/>
              </w:rPr>
              <w:t>£</w:t>
            </w:r>
            <w:r w:rsidRPr="71E49B66" w:rsidR="698566DB">
              <w:rPr>
                <w:rFonts w:ascii="Arial" w:hAnsi="Arial" w:cs="Arial"/>
                <w:sz w:val="20"/>
                <w:szCs w:val="20"/>
              </w:rPr>
              <w:t>2,195,560</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574878C6" w:rsidP="4C30C4F4" w:rsidRDefault="3991DB47" w14:paraId="10C3DF8A" w14:textId="2735304B">
            <w:pPr>
              <w:pStyle w:val="NoSpacing"/>
              <w:rPr>
                <w:rFonts w:ascii="Arial" w:hAnsi="Arial" w:cs="Arial"/>
                <w:sz w:val="20"/>
                <w:szCs w:val="20"/>
              </w:rPr>
            </w:pPr>
            <w:r w:rsidRPr="71E49B66">
              <w:rPr>
                <w:rFonts w:ascii="Arial" w:hAnsi="Arial" w:cs="Arial"/>
                <w:sz w:val="20"/>
                <w:szCs w:val="20"/>
              </w:rPr>
              <w:t>£</w:t>
            </w:r>
            <w:r w:rsidRPr="71E49B66" w:rsidR="44D49083">
              <w:rPr>
                <w:rFonts w:ascii="Arial" w:hAnsi="Arial" w:cs="Arial"/>
                <w:sz w:val="20"/>
                <w:szCs w:val="20"/>
              </w:rPr>
              <w:t>2,591,894</w:t>
            </w:r>
          </w:p>
        </w:tc>
        <w:tc>
          <w:tcPr>
            <w:tcW w:w="1452" w:type="dxa"/>
            <w:tcBorders>
              <w:top w:val="single" w:color="auto" w:sz="6" w:space="0"/>
              <w:left w:val="single" w:color="auto" w:sz="6" w:space="0"/>
              <w:bottom w:val="single" w:color="auto" w:sz="6" w:space="0"/>
              <w:right w:val="single" w:color="auto" w:sz="6" w:space="0"/>
            </w:tcBorders>
            <w:tcMar>
              <w:left w:w="105" w:type="dxa"/>
              <w:right w:w="105" w:type="dxa"/>
            </w:tcMar>
          </w:tcPr>
          <w:p w:rsidR="22B296D2" w:rsidP="4C30C4F4" w:rsidRDefault="3991DB47" w14:paraId="3A6ED1EE" w14:textId="6C328348">
            <w:pPr>
              <w:pStyle w:val="NoSpacing"/>
              <w:rPr>
                <w:rFonts w:ascii="Arial" w:hAnsi="Arial" w:cs="Arial"/>
                <w:sz w:val="20"/>
                <w:szCs w:val="20"/>
              </w:rPr>
            </w:pPr>
            <w:r w:rsidRPr="71E49B66">
              <w:rPr>
                <w:rFonts w:ascii="Arial" w:hAnsi="Arial" w:cs="Arial"/>
                <w:sz w:val="20"/>
                <w:szCs w:val="20"/>
              </w:rPr>
              <w:t>£</w:t>
            </w:r>
            <w:r w:rsidRPr="71E49B66" w:rsidR="0B1F14C8">
              <w:rPr>
                <w:rFonts w:ascii="Arial" w:hAnsi="Arial" w:cs="Arial"/>
                <w:sz w:val="20"/>
                <w:szCs w:val="20"/>
              </w:rPr>
              <w:t>5,907,637</w:t>
            </w:r>
          </w:p>
        </w:tc>
      </w:tr>
      <w:tr w:rsidR="5242BC59" w:rsidTr="4C30C4F4" w14:paraId="7B127DFF"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242BC59" w:rsidP="5242BC59" w:rsidRDefault="5242BC59" w14:paraId="196180BA" w14:textId="21E083B4">
            <w:pPr>
              <w:rPr>
                <w:rFonts w:ascii="Arial" w:hAnsi="Arial" w:eastAsia="Arial" w:cs="Arial"/>
                <w:color w:val="000000" w:themeColor="text1"/>
                <w:sz w:val="20"/>
                <w:szCs w:val="20"/>
              </w:rPr>
            </w:pPr>
            <w:r w:rsidRPr="5242BC59">
              <w:rPr>
                <w:rFonts w:ascii="Arial" w:hAnsi="Arial" w:eastAsia="Arial" w:cs="Arial"/>
                <w:b/>
                <w:bCs/>
                <w:color w:val="000000" w:themeColor="text1"/>
                <w:sz w:val="20"/>
                <w:szCs w:val="20"/>
              </w:rPr>
              <w:t>Net Savings</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5242BC59" w:rsidP="5242BC59" w:rsidRDefault="5713B1D8" w14:paraId="402BF8FF" w14:textId="22BA8E81">
            <w:pPr>
              <w:rPr>
                <w:rFonts w:ascii="Arial" w:hAnsi="Arial" w:eastAsia="Arial" w:cs="Arial"/>
                <w:sz w:val="20"/>
                <w:szCs w:val="20"/>
              </w:rPr>
            </w:pPr>
            <w:r w:rsidRPr="58B673BF">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1592FC15" w14:paraId="06075E8B" w14:textId="461FC6C9">
            <w:pPr>
              <w:pStyle w:val="NoSpacing"/>
              <w:rPr>
                <w:rFonts w:ascii="Arial" w:hAnsi="Arial" w:cs="Arial"/>
                <w:sz w:val="20"/>
                <w:szCs w:val="20"/>
              </w:rPr>
            </w:pPr>
            <w:r w:rsidRPr="4C30C4F4">
              <w:rPr>
                <w:rFonts w:ascii="Arial" w:hAnsi="Arial" w:cs="Arial"/>
                <w:sz w:val="20"/>
                <w:szCs w:val="20"/>
              </w:rPr>
              <w:t>£2,365,5</w:t>
            </w:r>
            <w:r w:rsidR="00F94336">
              <w:rPr>
                <w:rFonts w:ascii="Arial" w:hAnsi="Arial" w:cs="Arial"/>
                <w:sz w:val="20"/>
                <w:szCs w:val="20"/>
              </w:rPr>
              <w:t>3</w:t>
            </w:r>
            <w:r w:rsidRPr="4C30C4F4">
              <w:rPr>
                <w:rFonts w:ascii="Arial" w:hAnsi="Arial" w:cs="Arial"/>
                <w:sz w:val="20"/>
                <w:szCs w:val="20"/>
              </w:rPr>
              <w:t>6</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3554A567" w14:paraId="1A160D54" w14:textId="7F108241">
            <w:pPr>
              <w:pStyle w:val="NoSpacing"/>
              <w:rPr>
                <w:rFonts w:ascii="Arial" w:hAnsi="Arial" w:cs="Arial"/>
                <w:sz w:val="20"/>
                <w:szCs w:val="20"/>
              </w:rPr>
            </w:pPr>
            <w:r w:rsidRPr="71E49B66">
              <w:rPr>
                <w:rFonts w:ascii="Arial" w:hAnsi="Arial" w:cs="Arial"/>
                <w:sz w:val="20"/>
                <w:szCs w:val="20"/>
              </w:rPr>
              <w:t>£</w:t>
            </w:r>
            <w:r w:rsidRPr="71E49B66" w:rsidR="2033806B">
              <w:rPr>
                <w:rFonts w:ascii="Arial" w:hAnsi="Arial" w:cs="Arial"/>
                <w:sz w:val="20"/>
                <w:szCs w:val="20"/>
              </w:rPr>
              <w:t>4,683,696</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3991DB47" w14:paraId="40EBC720" w14:textId="01B56C05">
            <w:pPr>
              <w:pStyle w:val="NoSpacing"/>
              <w:rPr>
                <w:rFonts w:ascii="Arial" w:hAnsi="Arial" w:cs="Arial"/>
                <w:sz w:val="20"/>
                <w:szCs w:val="20"/>
              </w:rPr>
            </w:pPr>
            <w:r w:rsidRPr="71E49B66">
              <w:rPr>
                <w:rFonts w:ascii="Arial" w:hAnsi="Arial" w:cs="Arial"/>
                <w:sz w:val="20"/>
                <w:szCs w:val="20"/>
              </w:rPr>
              <w:t>£</w:t>
            </w:r>
            <w:r w:rsidRPr="71E49B66" w:rsidR="0ED084FC">
              <w:rPr>
                <w:rFonts w:ascii="Arial" w:hAnsi="Arial" w:cs="Arial"/>
                <w:sz w:val="20"/>
                <w:szCs w:val="20"/>
              </w:rPr>
              <w:t>5,490,453</w:t>
            </w:r>
          </w:p>
        </w:tc>
        <w:tc>
          <w:tcPr>
            <w:tcW w:w="1452" w:type="dxa"/>
            <w:tcBorders>
              <w:top w:val="single" w:color="auto" w:sz="6" w:space="0"/>
              <w:left w:val="single" w:color="auto" w:sz="6" w:space="0"/>
              <w:bottom w:val="single" w:color="auto" w:sz="6" w:space="0"/>
              <w:right w:val="single" w:color="auto" w:sz="6" w:space="0"/>
            </w:tcBorders>
            <w:tcMar>
              <w:left w:w="105" w:type="dxa"/>
              <w:right w:w="105" w:type="dxa"/>
            </w:tcMar>
          </w:tcPr>
          <w:p w:rsidR="1C8BC47B" w:rsidP="1C8BC47B" w:rsidRDefault="3991DB47" w14:paraId="4F4F9463" w14:textId="5D5A225F">
            <w:pPr>
              <w:pStyle w:val="NoSpacing"/>
              <w:rPr>
                <w:rFonts w:ascii="Arial" w:hAnsi="Arial" w:cs="Arial"/>
                <w:sz w:val="20"/>
                <w:szCs w:val="20"/>
              </w:rPr>
            </w:pPr>
            <w:r w:rsidRPr="71E49B66">
              <w:rPr>
                <w:rFonts w:ascii="Arial" w:hAnsi="Arial" w:cs="Arial"/>
                <w:sz w:val="20"/>
                <w:szCs w:val="20"/>
              </w:rPr>
              <w:t>£</w:t>
            </w:r>
            <w:r w:rsidRPr="71E49B66" w:rsidR="3886DA70">
              <w:rPr>
                <w:rFonts w:ascii="Arial" w:hAnsi="Arial" w:cs="Arial"/>
                <w:sz w:val="20"/>
                <w:szCs w:val="20"/>
              </w:rPr>
              <w:t>12,539,685</w:t>
            </w:r>
          </w:p>
        </w:tc>
      </w:tr>
    </w:tbl>
    <w:p w:rsidR="5F77973C" w:rsidP="5F77973C" w:rsidRDefault="5F77973C" w14:paraId="4005BC3A" w14:textId="72BC14E8">
      <w:pPr>
        <w:pStyle w:val="NoSpacing"/>
        <w:rPr>
          <w:rFonts w:ascii="Arial" w:hAnsi="Arial" w:cs="Arial"/>
          <w:sz w:val="20"/>
          <w:szCs w:val="20"/>
        </w:rPr>
      </w:pPr>
    </w:p>
    <w:p w:rsidR="0593DE18" w:rsidP="5F77973C" w:rsidRDefault="0593DE18" w14:paraId="4FFF6F58" w14:textId="2C367439">
      <w:pPr>
        <w:pStyle w:val="NoSpacing"/>
        <w:rPr>
          <w:rFonts w:ascii="Arial" w:hAnsi="Arial" w:cs="Arial"/>
          <w:sz w:val="20"/>
          <w:szCs w:val="20"/>
        </w:rPr>
      </w:pPr>
      <w:r w:rsidRPr="71E49B66">
        <w:rPr>
          <w:rFonts w:ascii="Arial" w:hAnsi="Arial" w:cs="Arial"/>
          <w:sz w:val="20"/>
          <w:szCs w:val="20"/>
        </w:rPr>
        <w:t>Note: Savings have been calculated based on a 2% reduction in</w:t>
      </w:r>
      <w:r w:rsidRPr="71E49B66" w:rsidR="589D560A">
        <w:rPr>
          <w:rFonts w:ascii="Arial" w:hAnsi="Arial" w:cs="Arial"/>
          <w:sz w:val="20"/>
          <w:szCs w:val="20"/>
        </w:rPr>
        <w:t xml:space="preserve"> total</w:t>
      </w:r>
      <w:r w:rsidRPr="71E49B66" w:rsidR="702E1770">
        <w:rPr>
          <w:rFonts w:ascii="Arial" w:hAnsi="Arial" w:cs="Arial"/>
          <w:sz w:val="20"/>
          <w:szCs w:val="20"/>
        </w:rPr>
        <w:t xml:space="preserve"> GF</w:t>
      </w:r>
      <w:r w:rsidRPr="71E49B66" w:rsidR="589D560A">
        <w:rPr>
          <w:rFonts w:ascii="Arial" w:hAnsi="Arial" w:cs="Arial"/>
          <w:sz w:val="20"/>
          <w:szCs w:val="20"/>
        </w:rPr>
        <w:t xml:space="preserve"> third-party</w:t>
      </w:r>
      <w:r w:rsidRPr="71E49B66">
        <w:rPr>
          <w:rFonts w:ascii="Arial" w:hAnsi="Arial" w:cs="Arial"/>
          <w:sz w:val="20"/>
          <w:szCs w:val="20"/>
        </w:rPr>
        <w:t xml:space="preserve"> </w:t>
      </w:r>
      <w:r w:rsidRPr="71E49B66" w:rsidR="5EF8678E">
        <w:rPr>
          <w:rFonts w:ascii="Arial" w:hAnsi="Arial" w:cs="Arial"/>
          <w:sz w:val="20"/>
          <w:szCs w:val="20"/>
        </w:rPr>
        <w:t xml:space="preserve">spend in </w:t>
      </w:r>
      <w:r w:rsidRPr="71E49B66">
        <w:rPr>
          <w:rFonts w:ascii="Arial" w:hAnsi="Arial" w:cs="Arial"/>
          <w:sz w:val="20"/>
          <w:szCs w:val="20"/>
        </w:rPr>
        <w:t>24/25, 4% reduction in 25/26 and 5% reduction in 26/27 through better contract management, value levering</w:t>
      </w:r>
      <w:r w:rsidRPr="71E49B66" w:rsidR="7B852D72">
        <w:rPr>
          <w:rFonts w:ascii="Arial" w:hAnsi="Arial" w:cs="Arial"/>
          <w:sz w:val="20"/>
          <w:szCs w:val="20"/>
        </w:rPr>
        <w:t xml:space="preserve">, </w:t>
      </w:r>
      <w:r w:rsidRPr="71E49B66">
        <w:rPr>
          <w:rFonts w:ascii="Arial" w:hAnsi="Arial" w:cs="Arial"/>
          <w:sz w:val="20"/>
          <w:szCs w:val="20"/>
        </w:rPr>
        <w:t>supplier relationship management</w:t>
      </w:r>
      <w:r w:rsidRPr="71E49B66" w:rsidR="43959D65">
        <w:rPr>
          <w:rFonts w:ascii="Arial" w:hAnsi="Arial" w:cs="Arial"/>
          <w:sz w:val="20"/>
          <w:szCs w:val="20"/>
        </w:rPr>
        <w:t>,</w:t>
      </w:r>
      <w:r w:rsidRPr="71E49B66" w:rsidR="217B4886">
        <w:rPr>
          <w:rFonts w:ascii="Arial" w:hAnsi="Arial" w:cs="Arial"/>
          <w:sz w:val="20"/>
          <w:szCs w:val="20"/>
        </w:rPr>
        <w:t xml:space="preserve"> and increasing </w:t>
      </w:r>
      <w:r w:rsidRPr="71E49B66" w:rsidR="6F36877A">
        <w:rPr>
          <w:rFonts w:ascii="Arial" w:hAnsi="Arial" w:cs="Arial"/>
          <w:sz w:val="20"/>
          <w:szCs w:val="20"/>
        </w:rPr>
        <w:t xml:space="preserve">contract management </w:t>
      </w:r>
      <w:r w:rsidRPr="71E49B66" w:rsidR="217B4886">
        <w:rPr>
          <w:rFonts w:ascii="Arial" w:hAnsi="Arial" w:cs="Arial"/>
          <w:sz w:val="20"/>
          <w:szCs w:val="20"/>
        </w:rPr>
        <w:t>maturity over time</w:t>
      </w:r>
      <w:r w:rsidRPr="71E49B66">
        <w:rPr>
          <w:rFonts w:ascii="Arial" w:hAnsi="Arial" w:cs="Arial"/>
          <w:sz w:val="20"/>
          <w:szCs w:val="20"/>
        </w:rPr>
        <w:t>.</w:t>
      </w:r>
      <w:r w:rsidRPr="71E49B66" w:rsidR="5F9FE81D">
        <w:rPr>
          <w:rFonts w:ascii="Arial" w:hAnsi="Arial" w:cs="Arial"/>
          <w:sz w:val="20"/>
          <w:szCs w:val="20"/>
        </w:rPr>
        <w:t xml:space="preserve"> We have included other key opportunities for P-Card and tail-spend savings.</w:t>
      </w:r>
    </w:p>
    <w:p w:rsidR="5F77973C" w:rsidP="5F77973C" w:rsidRDefault="5F77973C" w14:paraId="4CE14E15" w14:textId="696E5885">
      <w:pPr>
        <w:pStyle w:val="NoSpacing"/>
        <w:rPr>
          <w:rFonts w:ascii="Arial" w:hAnsi="Arial" w:cs="Arial"/>
          <w:b/>
          <w:bCs/>
          <w:sz w:val="20"/>
          <w:szCs w:val="20"/>
        </w:rPr>
      </w:pPr>
    </w:p>
    <w:p w:rsidR="7C272369" w:rsidP="5F77973C" w:rsidRDefault="7C272369" w14:paraId="782D19CA" w14:textId="4CA4A4BB">
      <w:pPr>
        <w:pStyle w:val="NoSpacing"/>
        <w:rPr>
          <w:rFonts w:ascii="Arial" w:hAnsi="Arial" w:cs="Arial"/>
          <w:b/>
          <w:bCs/>
          <w:sz w:val="20"/>
          <w:szCs w:val="20"/>
        </w:rPr>
      </w:pPr>
      <w:r w:rsidRPr="5F77973C">
        <w:rPr>
          <w:rFonts w:ascii="Arial" w:hAnsi="Arial" w:cs="Arial"/>
          <w:b/>
          <w:bCs/>
          <w:sz w:val="20"/>
          <w:szCs w:val="20"/>
        </w:rPr>
        <w:t>Finance’s Validated Figures</w:t>
      </w:r>
    </w:p>
    <w:p w:rsidR="5F77973C" w:rsidP="5F77973C" w:rsidRDefault="5F77973C" w14:paraId="43FFD112" w14:textId="4893F254">
      <w:pPr>
        <w:pStyle w:val="NoSpacing"/>
        <w:rPr>
          <w:rFonts w:ascii="Arial" w:hAnsi="Arial" w:cs="Arial"/>
          <w:sz w:val="20"/>
          <w:szCs w:val="20"/>
        </w:rPr>
      </w:pPr>
    </w:p>
    <w:p w:rsidR="5F77973C" w:rsidP="5F77973C" w:rsidRDefault="5F77973C" w14:paraId="38B0DAB3" w14:textId="5D4D59F8">
      <w:pPr>
        <w:pStyle w:val="NoSpacing"/>
        <w:rPr>
          <w:rFonts w:ascii="Arial" w:hAnsi="Arial" w:cs="Arial"/>
          <w:sz w:val="20"/>
          <w:szCs w:val="20"/>
        </w:rPr>
      </w:pPr>
      <w:r w:rsidRPr="7C5218E2" w:rsidR="740B8B4E">
        <w:rPr>
          <w:rFonts w:ascii="Arial" w:hAnsi="Arial" w:cs="Arial"/>
          <w:sz w:val="20"/>
          <w:szCs w:val="20"/>
        </w:rPr>
        <w:t xml:space="preserve">Finance have </w:t>
      </w:r>
      <w:r w:rsidRPr="7C5218E2" w:rsidR="740B8B4E">
        <w:rPr>
          <w:rFonts w:ascii="Arial" w:hAnsi="Arial" w:cs="Arial"/>
          <w:sz w:val="20"/>
          <w:szCs w:val="20"/>
        </w:rPr>
        <w:t>validated</w:t>
      </w:r>
      <w:r w:rsidRPr="7C5218E2" w:rsidR="740B8B4E">
        <w:rPr>
          <w:rFonts w:ascii="Arial" w:hAnsi="Arial" w:cs="Arial"/>
          <w:sz w:val="20"/>
          <w:szCs w:val="20"/>
        </w:rPr>
        <w:t xml:space="preserve"> the figures in the table below based on </w:t>
      </w:r>
      <w:r w:rsidRPr="7C5218E2" w:rsidR="4CFD1740">
        <w:rPr>
          <w:rFonts w:ascii="Arial" w:hAnsi="Arial" w:cs="Arial"/>
          <w:sz w:val="20"/>
          <w:szCs w:val="20"/>
        </w:rPr>
        <w:t xml:space="preserve">part year effect </w:t>
      </w:r>
      <w:r w:rsidRPr="7C5218E2" w:rsidR="0563F94F">
        <w:rPr>
          <w:rFonts w:ascii="Arial" w:hAnsi="Arial" w:cs="Arial"/>
          <w:sz w:val="20"/>
          <w:szCs w:val="20"/>
        </w:rPr>
        <w:t xml:space="preserve">(50%) </w:t>
      </w:r>
      <w:r w:rsidRPr="7C5218E2" w:rsidR="4CFD1740">
        <w:rPr>
          <w:rFonts w:ascii="Arial" w:hAnsi="Arial" w:cs="Arial"/>
          <w:sz w:val="20"/>
          <w:szCs w:val="20"/>
        </w:rPr>
        <w:t>and savings delivery confidence</w:t>
      </w:r>
      <w:r w:rsidRPr="7C5218E2" w:rsidR="1BF14C23">
        <w:rPr>
          <w:rFonts w:ascii="Arial" w:hAnsi="Arial" w:cs="Arial"/>
          <w:sz w:val="20"/>
          <w:szCs w:val="20"/>
        </w:rPr>
        <w:t xml:space="preserve"> (30%), resulting in confidence in 15% of the total proposed savings for 24/25</w:t>
      </w:r>
      <w:r w:rsidRPr="7C5218E2" w:rsidR="4CFD1740">
        <w:rPr>
          <w:rFonts w:ascii="Arial" w:hAnsi="Arial" w:cs="Arial"/>
          <w:sz w:val="20"/>
          <w:szCs w:val="20"/>
        </w:rPr>
        <w:t>.</w:t>
      </w:r>
    </w:p>
    <w:tbl>
      <w:tblPr>
        <w:tblStyle w:val="TableGrid"/>
        <w:tblW w:w="4884" w:type="dxa"/>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2055"/>
        <w:gridCol w:w="1414"/>
        <w:gridCol w:w="1415"/>
      </w:tblGrid>
      <w:tr w:rsidR="5F77973C" w:rsidTr="7C5218E2" w14:paraId="339BC500" w14:textId="77777777">
        <w:trPr>
          <w:trHeight w:val="255"/>
        </w:trPr>
        <w:tc>
          <w:tcPr>
            <w:tcW w:w="2055"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F77973C" w:rsidP="5F77973C" w:rsidRDefault="5F77973C" w14:paraId="053208E3" w14:textId="2EA44EE3">
            <w:pPr>
              <w:rPr>
                <w:rFonts w:ascii="Arial" w:hAnsi="Arial" w:eastAsia="Arial" w:cs="Arial"/>
                <w:b/>
                <w:bCs/>
                <w:sz w:val="20"/>
                <w:szCs w:val="20"/>
              </w:rPr>
            </w:pPr>
          </w:p>
        </w:tc>
        <w:tc>
          <w:tcPr>
            <w:tcW w:w="1414"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F77973C" w:rsidP="5F77973C" w:rsidRDefault="5F77973C" w14:paraId="52C9FA42" w14:textId="63F3367B">
            <w:pPr>
              <w:rPr>
                <w:rFonts w:ascii="Arial" w:hAnsi="Arial" w:eastAsia="Arial" w:cs="Arial"/>
                <w:color w:val="000000" w:themeColor="text1"/>
                <w:sz w:val="20"/>
                <w:szCs w:val="20"/>
              </w:rPr>
            </w:pPr>
            <w:r w:rsidRPr="5F77973C">
              <w:rPr>
                <w:rFonts w:ascii="Arial" w:hAnsi="Arial" w:eastAsia="Arial" w:cs="Arial"/>
                <w:b/>
                <w:bCs/>
                <w:color w:val="000000" w:themeColor="text1"/>
                <w:sz w:val="20"/>
                <w:szCs w:val="20"/>
              </w:rPr>
              <w:t>23/24</w:t>
            </w:r>
          </w:p>
        </w:tc>
        <w:tc>
          <w:tcPr>
            <w:tcW w:w="1415"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F77973C" w:rsidP="5F77973C" w:rsidRDefault="5F77973C" w14:paraId="39F6D5F8" w14:textId="68BAD02F">
            <w:pPr>
              <w:rPr>
                <w:rFonts w:ascii="Arial" w:hAnsi="Arial" w:eastAsia="Arial" w:cs="Arial"/>
                <w:color w:val="000000" w:themeColor="text1"/>
                <w:sz w:val="20"/>
                <w:szCs w:val="20"/>
              </w:rPr>
            </w:pPr>
            <w:r w:rsidRPr="5F77973C">
              <w:rPr>
                <w:rFonts w:ascii="Arial" w:hAnsi="Arial" w:eastAsia="Arial" w:cs="Arial"/>
                <w:b/>
                <w:bCs/>
                <w:color w:val="000000" w:themeColor="text1"/>
                <w:sz w:val="20"/>
                <w:szCs w:val="20"/>
              </w:rPr>
              <w:t>24/25</w:t>
            </w:r>
          </w:p>
        </w:tc>
      </w:tr>
      <w:tr w:rsidR="5F77973C" w:rsidTr="7C5218E2" w14:paraId="2878CBA2" w14:textId="77777777">
        <w:trPr>
          <w:trHeight w:val="255"/>
        </w:trPr>
        <w:tc>
          <w:tcPr>
            <w:tcW w:w="2055"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F77973C" w:rsidP="5F77973C" w:rsidRDefault="5F77973C" w14:paraId="3449315D" w14:textId="19D69F38">
            <w:pPr>
              <w:rPr>
                <w:rFonts w:ascii="Arial" w:hAnsi="Arial" w:eastAsia="Arial" w:cs="Arial"/>
                <w:color w:val="000000" w:themeColor="text1"/>
                <w:sz w:val="20"/>
                <w:szCs w:val="20"/>
              </w:rPr>
            </w:pPr>
            <w:r w:rsidRPr="5F77973C">
              <w:rPr>
                <w:rFonts w:ascii="Arial" w:hAnsi="Arial" w:eastAsia="Arial" w:cs="Arial"/>
                <w:b/>
                <w:bCs/>
                <w:color w:val="000000" w:themeColor="text1"/>
                <w:sz w:val="20"/>
                <w:szCs w:val="20"/>
              </w:rPr>
              <w:t>Recurring Investment</w:t>
            </w:r>
          </w:p>
        </w:tc>
        <w:tc>
          <w:tcPr>
            <w:tcW w:w="1414" w:type="dxa"/>
            <w:tcBorders>
              <w:top w:val="single" w:color="auto" w:sz="6" w:space="0"/>
              <w:left w:val="single" w:color="auto" w:sz="6" w:space="0"/>
              <w:bottom w:val="single" w:color="auto" w:sz="6" w:space="0"/>
              <w:right w:val="single" w:color="auto" w:sz="6" w:space="0"/>
            </w:tcBorders>
            <w:tcMar>
              <w:left w:w="105" w:type="dxa"/>
              <w:right w:w="105" w:type="dxa"/>
            </w:tcMar>
          </w:tcPr>
          <w:p w:rsidR="5F77973C" w:rsidP="5F77973C" w:rsidRDefault="5F77973C" w14:paraId="7503B9BF" w14:textId="646749FA">
            <w:pPr>
              <w:rPr>
                <w:rFonts w:ascii="Arial" w:hAnsi="Arial" w:eastAsia="Arial" w:cs="Arial"/>
                <w:sz w:val="20"/>
                <w:szCs w:val="20"/>
              </w:rPr>
            </w:pPr>
            <w:r w:rsidRPr="5F77973C">
              <w:rPr>
                <w:rFonts w:ascii="Arial" w:hAnsi="Arial" w:eastAsia="Arial" w:cs="Arial"/>
                <w:sz w:val="20"/>
                <w:szCs w:val="20"/>
              </w:rPr>
              <w:t>-</w:t>
            </w:r>
          </w:p>
        </w:tc>
        <w:tc>
          <w:tcPr>
            <w:tcW w:w="1415" w:type="dxa"/>
            <w:tcBorders>
              <w:top w:val="single" w:color="auto" w:sz="6" w:space="0"/>
              <w:left w:val="single" w:color="auto" w:sz="6" w:space="0"/>
              <w:bottom w:val="single" w:color="auto" w:sz="6" w:space="0"/>
              <w:right w:val="single" w:color="auto" w:sz="6" w:space="0"/>
            </w:tcBorders>
            <w:tcMar>
              <w:left w:w="105" w:type="dxa"/>
              <w:right w:w="105" w:type="dxa"/>
            </w:tcMar>
          </w:tcPr>
          <w:p w:rsidR="5F77973C" w:rsidRDefault="5F77973C" w14:paraId="7990262D" w14:textId="678C6C9E">
            <w:r w:rsidRPr="5F77973C">
              <w:rPr>
                <w:rFonts w:ascii="Arial" w:hAnsi="Arial" w:eastAsia="Arial" w:cs="Arial"/>
                <w:sz w:val="20"/>
                <w:szCs w:val="20"/>
              </w:rPr>
              <w:t>-</w:t>
            </w:r>
          </w:p>
        </w:tc>
      </w:tr>
      <w:tr w:rsidR="5F77973C" w:rsidTr="7C5218E2" w14:paraId="4CCC225F" w14:textId="77777777">
        <w:trPr>
          <w:trHeight w:val="270"/>
        </w:trPr>
        <w:tc>
          <w:tcPr>
            <w:tcW w:w="2055"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F77973C" w:rsidP="5F77973C" w:rsidRDefault="5F77973C" w14:paraId="0DC4F698" w14:textId="69DD1205">
            <w:pPr>
              <w:rPr>
                <w:rFonts w:ascii="Arial" w:hAnsi="Arial" w:eastAsia="Arial" w:cs="Arial"/>
                <w:color w:val="000000" w:themeColor="text1"/>
                <w:sz w:val="20"/>
                <w:szCs w:val="20"/>
              </w:rPr>
            </w:pPr>
            <w:r w:rsidRPr="5F77973C">
              <w:rPr>
                <w:rFonts w:ascii="Arial" w:hAnsi="Arial" w:eastAsia="Arial" w:cs="Arial"/>
                <w:b/>
                <w:bCs/>
                <w:color w:val="000000" w:themeColor="text1"/>
                <w:sz w:val="20"/>
                <w:szCs w:val="20"/>
              </w:rPr>
              <w:t>Recurring Cost Savings</w:t>
            </w:r>
          </w:p>
        </w:tc>
        <w:tc>
          <w:tcPr>
            <w:tcW w:w="1414" w:type="dxa"/>
            <w:tcBorders>
              <w:top w:val="single" w:color="auto" w:sz="6" w:space="0"/>
              <w:left w:val="single" w:color="auto" w:sz="6" w:space="0"/>
              <w:bottom w:val="single" w:color="auto" w:sz="6" w:space="0"/>
              <w:right w:val="single" w:color="auto" w:sz="6" w:space="0"/>
            </w:tcBorders>
            <w:tcMar>
              <w:left w:w="105" w:type="dxa"/>
              <w:right w:w="105" w:type="dxa"/>
            </w:tcMar>
          </w:tcPr>
          <w:p w:rsidR="5F77973C" w:rsidP="5F77973C" w:rsidRDefault="5F77973C" w14:paraId="79F9D7B3" w14:textId="7CEB8E52">
            <w:pPr>
              <w:rPr>
                <w:rFonts w:ascii="Arial" w:hAnsi="Arial" w:eastAsia="Arial" w:cs="Arial"/>
                <w:sz w:val="20"/>
                <w:szCs w:val="20"/>
              </w:rPr>
            </w:pPr>
            <w:r w:rsidRPr="7C5218E2" w:rsidR="55AD2552">
              <w:rPr>
                <w:rFonts w:ascii="Arial" w:hAnsi="Arial" w:eastAsia="Arial" w:cs="Arial"/>
                <w:sz w:val="20"/>
                <w:szCs w:val="20"/>
              </w:rPr>
              <w:t>-</w:t>
            </w:r>
          </w:p>
        </w:tc>
        <w:tc>
          <w:tcPr>
            <w:tcW w:w="1415" w:type="dxa"/>
            <w:tcBorders>
              <w:top w:val="single" w:color="auto" w:sz="6" w:space="0"/>
              <w:left w:val="single" w:color="auto" w:sz="6" w:space="0"/>
              <w:bottom w:val="single" w:color="auto" w:sz="6" w:space="0"/>
              <w:right w:val="single" w:color="auto" w:sz="6" w:space="0"/>
            </w:tcBorders>
            <w:tcMar>
              <w:left w:w="105" w:type="dxa"/>
              <w:right w:w="105" w:type="dxa"/>
            </w:tcMar>
          </w:tcPr>
          <w:p w:rsidR="5F77973C" w:rsidP="5F77973C" w:rsidRDefault="5F77973C" w14:paraId="43A23DE7" w14:textId="02960817">
            <w:pPr>
              <w:pStyle w:val="NoSpacing"/>
              <w:rPr>
                <w:rFonts w:ascii="Arial" w:hAnsi="Arial" w:cs="Arial"/>
                <w:sz w:val="20"/>
                <w:szCs w:val="20"/>
              </w:rPr>
            </w:pPr>
            <w:r w:rsidRPr="7C5218E2" w:rsidR="7177B99A">
              <w:rPr>
                <w:rFonts w:ascii="Arial" w:hAnsi="Arial" w:cs="Arial"/>
                <w:sz w:val="20"/>
                <w:szCs w:val="20"/>
              </w:rPr>
              <w:t xml:space="preserve"> £1</w:t>
            </w:r>
            <w:r w:rsidRPr="7C5218E2" w:rsidR="2E43B79A">
              <w:rPr>
                <w:rFonts w:ascii="Arial" w:hAnsi="Arial" w:cs="Arial"/>
                <w:sz w:val="20"/>
                <w:szCs w:val="20"/>
              </w:rPr>
              <w:t>86,802</w:t>
            </w:r>
          </w:p>
        </w:tc>
      </w:tr>
      <w:tr w:rsidR="5F77973C" w:rsidTr="7C5218E2" w14:paraId="77E9381E" w14:textId="77777777">
        <w:trPr>
          <w:trHeight w:val="270"/>
        </w:trPr>
        <w:tc>
          <w:tcPr>
            <w:tcW w:w="2055"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F77973C" w:rsidP="5F77973C" w:rsidRDefault="5F77973C" w14:paraId="535FD3B8" w14:textId="6B25B8EE">
            <w:pPr>
              <w:rPr>
                <w:rFonts w:ascii="Arial" w:hAnsi="Arial" w:eastAsia="Arial" w:cs="Arial"/>
                <w:b/>
                <w:bCs/>
                <w:color w:val="000000" w:themeColor="text1"/>
                <w:sz w:val="20"/>
                <w:szCs w:val="20"/>
              </w:rPr>
            </w:pPr>
            <w:r w:rsidRPr="5F77973C">
              <w:rPr>
                <w:rFonts w:ascii="Arial" w:hAnsi="Arial" w:eastAsia="Arial" w:cs="Arial"/>
                <w:b/>
                <w:bCs/>
                <w:color w:val="000000" w:themeColor="text1"/>
                <w:sz w:val="20"/>
                <w:szCs w:val="20"/>
              </w:rPr>
              <w:t>Recurring Budget Savings</w:t>
            </w:r>
          </w:p>
        </w:tc>
        <w:tc>
          <w:tcPr>
            <w:tcW w:w="1414" w:type="dxa"/>
            <w:tcBorders>
              <w:top w:val="single" w:color="auto" w:sz="6" w:space="0"/>
              <w:left w:val="single" w:color="auto" w:sz="6" w:space="0"/>
              <w:bottom w:val="single" w:color="auto" w:sz="6" w:space="0"/>
              <w:right w:val="single" w:color="auto" w:sz="6" w:space="0"/>
            </w:tcBorders>
            <w:tcMar>
              <w:left w:w="105" w:type="dxa"/>
              <w:right w:w="105" w:type="dxa"/>
            </w:tcMar>
          </w:tcPr>
          <w:p w:rsidR="5F77973C" w:rsidP="5F77973C" w:rsidRDefault="5F77973C" w14:paraId="5110D359" w14:textId="518144CA">
            <w:pPr>
              <w:rPr>
                <w:rFonts w:ascii="Arial" w:hAnsi="Arial" w:eastAsia="Arial" w:cs="Arial"/>
                <w:sz w:val="20"/>
                <w:szCs w:val="20"/>
              </w:rPr>
            </w:pPr>
            <w:r w:rsidRPr="7C5218E2" w:rsidR="55AD2552">
              <w:rPr>
                <w:rFonts w:ascii="Arial" w:hAnsi="Arial" w:eastAsia="Arial" w:cs="Arial"/>
                <w:sz w:val="20"/>
                <w:szCs w:val="20"/>
              </w:rPr>
              <w:t>-</w:t>
            </w:r>
          </w:p>
        </w:tc>
        <w:tc>
          <w:tcPr>
            <w:tcW w:w="1415" w:type="dxa"/>
            <w:tcBorders>
              <w:top w:val="single" w:color="auto" w:sz="6" w:space="0"/>
              <w:left w:val="single" w:color="auto" w:sz="6" w:space="0"/>
              <w:bottom w:val="single" w:color="auto" w:sz="6" w:space="0"/>
              <w:right w:val="single" w:color="auto" w:sz="6" w:space="0"/>
            </w:tcBorders>
            <w:tcMar>
              <w:left w:w="105" w:type="dxa"/>
              <w:right w:w="105" w:type="dxa"/>
            </w:tcMar>
          </w:tcPr>
          <w:p w:rsidR="5F77973C" w:rsidP="5F77973C" w:rsidRDefault="5F77973C" w14:paraId="6F8F0A70" w14:textId="53168BD3">
            <w:pPr>
              <w:pStyle w:val="NoSpacing"/>
              <w:rPr>
                <w:rFonts w:ascii="Arial" w:hAnsi="Arial" w:cs="Arial"/>
                <w:sz w:val="20"/>
                <w:szCs w:val="20"/>
              </w:rPr>
            </w:pPr>
            <w:r w:rsidRPr="7C5218E2" w:rsidR="7177B99A">
              <w:rPr>
                <w:rFonts w:ascii="Arial" w:hAnsi="Arial" w:cs="Arial"/>
                <w:sz w:val="20"/>
                <w:szCs w:val="20"/>
              </w:rPr>
              <w:t>£1</w:t>
            </w:r>
            <w:r w:rsidRPr="7C5218E2" w:rsidR="35FF030E">
              <w:rPr>
                <w:rFonts w:ascii="Arial" w:hAnsi="Arial" w:cs="Arial"/>
                <w:sz w:val="20"/>
                <w:szCs w:val="20"/>
              </w:rPr>
              <w:t>68,027</w:t>
            </w:r>
          </w:p>
          <w:p w:rsidR="5F77973C" w:rsidP="5F77973C" w:rsidRDefault="5F77973C" w14:paraId="49173404" w14:textId="504AB4AB">
            <w:pPr>
              <w:pStyle w:val="NoSpacing"/>
              <w:rPr>
                <w:rFonts w:ascii="Arial" w:hAnsi="Arial" w:cs="Arial"/>
                <w:sz w:val="20"/>
                <w:szCs w:val="20"/>
              </w:rPr>
            </w:pPr>
          </w:p>
        </w:tc>
      </w:tr>
      <w:tr w:rsidR="5F77973C" w:rsidTr="7C5218E2" w14:paraId="26383F42" w14:textId="77777777">
        <w:trPr>
          <w:trHeight w:val="255"/>
        </w:trPr>
        <w:tc>
          <w:tcPr>
            <w:tcW w:w="2055"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5F77973C" w:rsidP="5F77973C" w:rsidRDefault="5F77973C" w14:paraId="1F70E475" w14:textId="21E083B4">
            <w:pPr>
              <w:rPr>
                <w:rFonts w:ascii="Arial" w:hAnsi="Arial" w:eastAsia="Arial" w:cs="Arial"/>
                <w:color w:val="000000" w:themeColor="text1"/>
                <w:sz w:val="20"/>
                <w:szCs w:val="20"/>
              </w:rPr>
            </w:pPr>
            <w:r w:rsidRPr="5F77973C">
              <w:rPr>
                <w:rFonts w:ascii="Arial" w:hAnsi="Arial" w:eastAsia="Arial" w:cs="Arial"/>
                <w:b/>
                <w:bCs/>
                <w:color w:val="000000" w:themeColor="text1"/>
                <w:sz w:val="20"/>
                <w:szCs w:val="20"/>
              </w:rPr>
              <w:t>Net Savings</w:t>
            </w:r>
          </w:p>
        </w:tc>
        <w:tc>
          <w:tcPr>
            <w:tcW w:w="1414" w:type="dxa"/>
            <w:tcBorders>
              <w:top w:val="single" w:color="auto" w:sz="6" w:space="0"/>
              <w:left w:val="single" w:color="auto" w:sz="6" w:space="0"/>
              <w:bottom w:val="single" w:color="auto" w:sz="6" w:space="0"/>
              <w:right w:val="single" w:color="auto" w:sz="6" w:space="0"/>
            </w:tcBorders>
            <w:tcMar>
              <w:left w:w="105" w:type="dxa"/>
              <w:right w:w="105" w:type="dxa"/>
            </w:tcMar>
          </w:tcPr>
          <w:p w:rsidR="5F77973C" w:rsidP="5F77973C" w:rsidRDefault="5F77973C" w14:paraId="15D5EB0A" w14:textId="22BA8E81">
            <w:pPr>
              <w:rPr>
                <w:rFonts w:ascii="Arial" w:hAnsi="Arial" w:eastAsia="Arial" w:cs="Arial"/>
                <w:sz w:val="20"/>
                <w:szCs w:val="20"/>
              </w:rPr>
            </w:pPr>
            <w:r w:rsidRPr="5F77973C">
              <w:rPr>
                <w:rFonts w:ascii="Arial" w:hAnsi="Arial" w:eastAsia="Arial" w:cs="Arial"/>
                <w:sz w:val="20"/>
                <w:szCs w:val="20"/>
              </w:rPr>
              <w:t>-</w:t>
            </w:r>
          </w:p>
        </w:tc>
        <w:tc>
          <w:tcPr>
            <w:tcW w:w="1415" w:type="dxa"/>
            <w:tcBorders>
              <w:top w:val="single" w:color="auto" w:sz="6" w:space="0"/>
              <w:left w:val="single" w:color="auto" w:sz="6" w:space="0"/>
              <w:bottom w:val="single" w:color="auto" w:sz="6" w:space="0"/>
              <w:right w:val="single" w:color="auto" w:sz="6" w:space="0"/>
            </w:tcBorders>
            <w:tcMar>
              <w:left w:w="105" w:type="dxa"/>
              <w:right w:w="105" w:type="dxa"/>
            </w:tcMar>
          </w:tcPr>
          <w:p w:rsidR="5F77973C" w:rsidP="5F77973C" w:rsidRDefault="5F77973C" w14:paraId="280FA8FD" w14:textId="018B2916">
            <w:pPr>
              <w:pStyle w:val="NoSpacing"/>
              <w:rPr>
                <w:rFonts w:ascii="Arial" w:hAnsi="Arial" w:cs="Arial"/>
                <w:sz w:val="20"/>
                <w:szCs w:val="20"/>
              </w:rPr>
            </w:pPr>
            <w:r w:rsidRPr="7C5218E2" w:rsidR="7177B99A">
              <w:rPr>
                <w:rFonts w:ascii="Arial" w:hAnsi="Arial" w:cs="Arial"/>
                <w:sz w:val="20"/>
                <w:szCs w:val="20"/>
              </w:rPr>
              <w:t>£</w:t>
            </w:r>
            <w:r w:rsidRPr="7C5218E2" w:rsidR="31410A03">
              <w:rPr>
                <w:rFonts w:ascii="Arial" w:hAnsi="Arial" w:cs="Arial"/>
                <w:sz w:val="20"/>
                <w:szCs w:val="20"/>
              </w:rPr>
              <w:t>354,833</w:t>
            </w:r>
          </w:p>
        </w:tc>
      </w:tr>
    </w:tbl>
    <w:p w:rsidR="71E49B66" w:rsidP="71E49B66" w:rsidRDefault="71E49B66" w14:paraId="05EA5B2F" w14:noSpellErr="1" w14:textId="7C56B7C7">
      <w:pPr>
        <w:pStyle w:val="NoSpacing"/>
        <w:rPr>
          <w:rFonts w:ascii="Arial" w:hAnsi="Arial" w:cs="Arial"/>
          <w:sz w:val="20"/>
          <w:szCs w:val="20"/>
        </w:rPr>
      </w:pPr>
    </w:p>
    <w:p w:rsidRPr="005A2497" w:rsidR="003D5E49" w:rsidP="00843326" w:rsidRDefault="003D5E49" w14:paraId="134DE951" w14:noSpellErr="1" w14:textId="32C00B97">
      <w:pPr>
        <w:pStyle w:val="NoSpacing"/>
        <w:rPr>
          <w:rFonts w:ascii="Arial" w:hAnsi="Arial" w:cs="Arial"/>
          <w:sz w:val="20"/>
          <w:szCs w:val="20"/>
        </w:rPr>
      </w:pPr>
    </w:p>
    <w:p w:rsidRPr="00035CB3" w:rsidR="002A1C25" w:rsidP="00035CB3" w:rsidRDefault="002A1C25" w14:paraId="0BE74156" w14:textId="2BB4204B">
      <w:pPr>
        <w:pStyle w:val="NoSpacing"/>
        <w:shd w:val="clear" w:color="auto" w:fill="7030A0"/>
        <w:rPr>
          <w:rFonts w:ascii="Arial" w:hAnsi="Arial" w:cs="Arial"/>
          <w:b/>
          <w:bCs/>
          <w:color w:val="FFFFFF" w:themeColor="background1"/>
          <w:sz w:val="20"/>
          <w:szCs w:val="20"/>
        </w:rPr>
      </w:pPr>
      <w:r w:rsidRPr="00035CB3">
        <w:rPr>
          <w:rFonts w:ascii="Arial" w:hAnsi="Arial" w:cs="Arial"/>
          <w:b/>
          <w:bCs/>
          <w:color w:val="FFFFFF" w:themeColor="background1"/>
          <w:sz w:val="20"/>
          <w:szCs w:val="20"/>
        </w:rPr>
        <w:t>Non-Cashable Benefits</w:t>
      </w:r>
    </w:p>
    <w:p w:rsidRPr="005A2497" w:rsidR="002A1C25" w:rsidP="00843326" w:rsidRDefault="002A1C25" w14:paraId="5591259F" w14:textId="77777777">
      <w:pPr>
        <w:pStyle w:val="NoSpacing"/>
        <w:rPr>
          <w:rFonts w:ascii="Arial" w:hAnsi="Arial" w:cs="Arial"/>
          <w:sz w:val="20"/>
          <w:szCs w:val="20"/>
        </w:rPr>
      </w:pPr>
    </w:p>
    <w:tbl>
      <w:tblPr>
        <w:tblStyle w:val="TableGrid"/>
        <w:tblW w:w="9073" w:type="dxa"/>
        <w:tblLook w:val="04A0" w:firstRow="1" w:lastRow="0" w:firstColumn="1" w:lastColumn="0" w:noHBand="0" w:noVBand="1"/>
      </w:tblPr>
      <w:tblGrid>
        <w:gridCol w:w="2068"/>
        <w:gridCol w:w="7005"/>
      </w:tblGrid>
      <w:tr w:rsidRPr="005A2497" w:rsidR="007C5A82" w:rsidTr="58B673BF" w14:paraId="46B58774" w14:textId="70A58CDF">
        <w:trPr>
          <w:trHeight w:val="300"/>
        </w:trPr>
        <w:tc>
          <w:tcPr>
            <w:tcW w:w="2068" w:type="dxa"/>
            <w:shd w:val="clear" w:color="auto" w:fill="66B0AB"/>
          </w:tcPr>
          <w:p w:rsidRPr="005A2497" w:rsidR="007C5A82" w:rsidP="00035CB3" w:rsidRDefault="007C5A82" w14:paraId="2AA4FDAD" w14:textId="7C4F8FA8">
            <w:pPr>
              <w:pStyle w:val="NoSpacing"/>
              <w:rPr>
                <w:rFonts w:ascii="Arial" w:hAnsi="Arial" w:cs="Arial"/>
                <w:b/>
                <w:bCs/>
                <w:sz w:val="20"/>
                <w:szCs w:val="20"/>
              </w:rPr>
            </w:pPr>
            <w:r w:rsidRPr="005A2497">
              <w:rPr>
                <w:rFonts w:ascii="Arial" w:hAnsi="Arial" w:cs="Arial"/>
                <w:b/>
                <w:bCs/>
                <w:sz w:val="20"/>
                <w:szCs w:val="20"/>
              </w:rPr>
              <w:t>Benefit</w:t>
            </w:r>
          </w:p>
        </w:tc>
        <w:tc>
          <w:tcPr>
            <w:tcW w:w="7005" w:type="dxa"/>
            <w:shd w:val="clear" w:color="auto" w:fill="66B0AB"/>
          </w:tcPr>
          <w:p w:rsidRPr="005A2497" w:rsidR="007C5A82" w:rsidP="00035CB3" w:rsidRDefault="007C5A82" w14:paraId="16A4AE0B" w14:textId="137AAD1B">
            <w:pPr>
              <w:pStyle w:val="NoSpacing"/>
              <w:rPr>
                <w:rFonts w:ascii="Arial" w:hAnsi="Arial" w:cs="Arial"/>
                <w:b/>
                <w:bCs/>
                <w:sz w:val="20"/>
                <w:szCs w:val="20"/>
              </w:rPr>
            </w:pPr>
            <w:r w:rsidRPr="005A2497">
              <w:rPr>
                <w:rFonts w:ascii="Arial" w:hAnsi="Arial" w:cs="Arial"/>
                <w:b/>
                <w:bCs/>
                <w:sz w:val="20"/>
                <w:szCs w:val="20"/>
              </w:rPr>
              <w:t>Description</w:t>
            </w:r>
          </w:p>
        </w:tc>
      </w:tr>
      <w:tr w:rsidRPr="005A2497" w:rsidR="007C5A82" w:rsidTr="58B673BF" w14:paraId="1BA50B45" w14:textId="6855154C">
        <w:trPr>
          <w:trHeight w:val="300"/>
        </w:trPr>
        <w:tc>
          <w:tcPr>
            <w:tcW w:w="2068" w:type="dxa"/>
            <w:shd w:val="clear" w:color="auto" w:fill="66B0AB"/>
          </w:tcPr>
          <w:p w:rsidRPr="005A2497" w:rsidR="007C5A82" w:rsidP="00035CB3" w:rsidRDefault="004143C4" w14:paraId="3D1A5478" w14:textId="0E0B270F">
            <w:pPr>
              <w:pStyle w:val="NoSpacing"/>
              <w:rPr>
                <w:rFonts w:ascii="Arial" w:hAnsi="Arial" w:cs="Arial"/>
                <w:b/>
                <w:bCs/>
                <w:sz w:val="20"/>
                <w:szCs w:val="20"/>
              </w:rPr>
            </w:pPr>
            <w:r w:rsidRPr="005A2497">
              <w:rPr>
                <w:rFonts w:ascii="Arial" w:hAnsi="Arial" w:cs="Arial"/>
                <w:b/>
                <w:bCs/>
                <w:sz w:val="20"/>
                <w:szCs w:val="20"/>
              </w:rPr>
              <w:t>Customer Experience</w:t>
            </w:r>
          </w:p>
        </w:tc>
        <w:tc>
          <w:tcPr>
            <w:tcW w:w="7005" w:type="dxa"/>
          </w:tcPr>
          <w:p w:rsidRPr="005A2497" w:rsidR="007C5A82" w:rsidP="00035CB3" w:rsidRDefault="0A83B971" w14:paraId="36274594" w14:textId="475F34FF">
            <w:pPr>
              <w:pStyle w:val="NoSpacing"/>
              <w:rPr>
                <w:rFonts w:ascii="Arial" w:hAnsi="Arial" w:cs="Arial"/>
                <w:sz w:val="20"/>
                <w:szCs w:val="20"/>
              </w:rPr>
            </w:pPr>
            <w:r w:rsidRPr="58B673BF">
              <w:rPr>
                <w:rFonts w:ascii="Arial" w:hAnsi="Arial" w:cs="Arial"/>
                <w:sz w:val="20"/>
                <w:szCs w:val="20"/>
              </w:rPr>
              <w:t xml:space="preserve">Improved </w:t>
            </w:r>
            <w:r w:rsidRPr="58B673BF" w:rsidR="190FBD56">
              <w:rPr>
                <w:rFonts w:ascii="Arial" w:hAnsi="Arial" w:cs="Arial"/>
                <w:sz w:val="20"/>
                <w:szCs w:val="20"/>
              </w:rPr>
              <w:t>c</w:t>
            </w:r>
            <w:r w:rsidRPr="58B673BF">
              <w:rPr>
                <w:rFonts w:ascii="Arial" w:hAnsi="Arial" w:cs="Arial"/>
                <w:sz w:val="20"/>
                <w:szCs w:val="20"/>
              </w:rPr>
              <w:t xml:space="preserve">ouncil services being delivered </w:t>
            </w:r>
            <w:r w:rsidRPr="58B673BF" w:rsidR="54DFA6A5">
              <w:rPr>
                <w:rFonts w:ascii="Arial" w:hAnsi="Arial" w:cs="Arial"/>
                <w:sz w:val="20"/>
                <w:szCs w:val="20"/>
              </w:rPr>
              <w:t>b</w:t>
            </w:r>
            <w:r w:rsidRPr="58B673BF">
              <w:rPr>
                <w:rFonts w:ascii="Arial" w:hAnsi="Arial" w:cs="Arial"/>
                <w:sz w:val="20"/>
                <w:szCs w:val="20"/>
              </w:rPr>
              <w:t>y third party suppliers</w:t>
            </w:r>
            <w:r w:rsidRPr="58B673BF" w:rsidR="04AC6920">
              <w:rPr>
                <w:rFonts w:ascii="Arial" w:hAnsi="Arial" w:cs="Arial"/>
                <w:sz w:val="20"/>
                <w:szCs w:val="20"/>
              </w:rPr>
              <w:t>.</w:t>
            </w:r>
          </w:p>
        </w:tc>
      </w:tr>
      <w:tr w:rsidRPr="005A2497" w:rsidR="007C5A82" w:rsidTr="58B673BF" w14:paraId="4BDD51CE" w14:textId="77777777">
        <w:trPr>
          <w:trHeight w:val="300"/>
        </w:trPr>
        <w:tc>
          <w:tcPr>
            <w:tcW w:w="2068" w:type="dxa"/>
            <w:shd w:val="clear" w:color="auto" w:fill="66B0AB"/>
          </w:tcPr>
          <w:p w:rsidRPr="005A2497" w:rsidR="007C5A82" w:rsidP="00035CB3" w:rsidRDefault="004143C4" w14:paraId="3A39F61B" w14:textId="797B54D2">
            <w:pPr>
              <w:pStyle w:val="NoSpacing"/>
              <w:rPr>
                <w:rFonts w:ascii="Arial" w:hAnsi="Arial" w:cs="Arial"/>
                <w:b/>
                <w:bCs/>
                <w:sz w:val="20"/>
                <w:szCs w:val="20"/>
              </w:rPr>
            </w:pPr>
            <w:r w:rsidRPr="005A2497">
              <w:rPr>
                <w:rFonts w:ascii="Arial" w:hAnsi="Arial" w:cs="Arial"/>
                <w:b/>
                <w:bCs/>
                <w:sz w:val="20"/>
                <w:szCs w:val="20"/>
              </w:rPr>
              <w:t>Employee Experience</w:t>
            </w:r>
          </w:p>
        </w:tc>
        <w:tc>
          <w:tcPr>
            <w:tcW w:w="7005" w:type="dxa"/>
          </w:tcPr>
          <w:p w:rsidRPr="005A2497" w:rsidR="007C5A82" w:rsidP="00035CB3" w:rsidRDefault="030770EA" w14:paraId="5CA3454B" w14:textId="2B3D9024">
            <w:pPr>
              <w:pStyle w:val="NoSpacing"/>
              <w:rPr>
                <w:rFonts w:ascii="Arial" w:hAnsi="Arial" w:cs="Arial"/>
                <w:sz w:val="20"/>
                <w:szCs w:val="20"/>
              </w:rPr>
            </w:pPr>
            <w:r w:rsidRPr="1C8BC47B">
              <w:rPr>
                <w:rFonts w:ascii="Arial" w:hAnsi="Arial" w:cs="Arial"/>
                <w:sz w:val="20"/>
                <w:szCs w:val="20"/>
              </w:rPr>
              <w:t>Enhanced commercial knowledge for contract owners to augment knowledge and learning</w:t>
            </w:r>
            <w:r w:rsidRPr="1C8BC47B" w:rsidR="7360EE84">
              <w:rPr>
                <w:rFonts w:ascii="Arial" w:hAnsi="Arial" w:cs="Arial"/>
                <w:sz w:val="20"/>
                <w:szCs w:val="20"/>
              </w:rPr>
              <w:t>.</w:t>
            </w:r>
          </w:p>
        </w:tc>
      </w:tr>
      <w:tr w:rsidRPr="005A2497" w:rsidR="007C5A82" w:rsidTr="58B673BF" w14:paraId="390DCA3B" w14:textId="77777777">
        <w:trPr>
          <w:trHeight w:val="300"/>
        </w:trPr>
        <w:tc>
          <w:tcPr>
            <w:tcW w:w="2068" w:type="dxa"/>
            <w:shd w:val="clear" w:color="auto" w:fill="66B0AB"/>
          </w:tcPr>
          <w:p w:rsidRPr="005A2497" w:rsidR="007C5A82" w:rsidP="00035CB3" w:rsidRDefault="004143C4" w14:paraId="2AF75F10" w14:textId="4E43D318">
            <w:pPr>
              <w:pStyle w:val="NoSpacing"/>
              <w:rPr>
                <w:rFonts w:ascii="Arial" w:hAnsi="Arial" w:cs="Arial"/>
                <w:b/>
                <w:bCs/>
                <w:sz w:val="20"/>
                <w:szCs w:val="20"/>
              </w:rPr>
            </w:pPr>
            <w:r w:rsidRPr="005A2497">
              <w:rPr>
                <w:rFonts w:ascii="Arial" w:hAnsi="Arial" w:cs="Arial"/>
                <w:b/>
                <w:bCs/>
                <w:sz w:val="20"/>
                <w:szCs w:val="20"/>
              </w:rPr>
              <w:t>Productivity</w:t>
            </w:r>
          </w:p>
        </w:tc>
        <w:tc>
          <w:tcPr>
            <w:tcW w:w="7005" w:type="dxa"/>
          </w:tcPr>
          <w:p w:rsidRPr="005A2497" w:rsidR="007C5A82" w:rsidP="00035CB3" w:rsidRDefault="79DFCB3F" w14:paraId="6F06AD4B" w14:textId="3742B5FE">
            <w:pPr>
              <w:pStyle w:val="NoSpacing"/>
              <w:rPr>
                <w:rFonts w:ascii="Arial" w:hAnsi="Arial" w:cs="Arial"/>
                <w:sz w:val="20"/>
                <w:szCs w:val="20"/>
              </w:rPr>
            </w:pPr>
            <w:r w:rsidRPr="1C8BC47B">
              <w:rPr>
                <w:rFonts w:ascii="Arial" w:hAnsi="Arial" w:cs="Arial"/>
                <w:sz w:val="20"/>
                <w:szCs w:val="20"/>
              </w:rPr>
              <w:t>Value levering and continuous improvement from suppliers will optimise productivity and value gleaned from contracts</w:t>
            </w:r>
            <w:r w:rsidRPr="1C8BC47B" w:rsidR="7AB7BD64">
              <w:rPr>
                <w:rFonts w:ascii="Arial" w:hAnsi="Arial" w:cs="Arial"/>
                <w:sz w:val="20"/>
                <w:szCs w:val="20"/>
              </w:rPr>
              <w:t>.</w:t>
            </w:r>
          </w:p>
        </w:tc>
      </w:tr>
      <w:tr w:rsidRPr="005A2497" w:rsidR="007C5A82" w:rsidTr="58B673BF" w14:paraId="1E92AD23" w14:textId="77777777">
        <w:trPr>
          <w:trHeight w:val="300"/>
        </w:trPr>
        <w:tc>
          <w:tcPr>
            <w:tcW w:w="2068" w:type="dxa"/>
            <w:shd w:val="clear" w:color="auto" w:fill="66B0AB"/>
          </w:tcPr>
          <w:p w:rsidRPr="005A2497" w:rsidR="007C5A82" w:rsidP="00035CB3" w:rsidRDefault="004143C4" w14:paraId="6858AAEF" w14:textId="536BC954">
            <w:pPr>
              <w:pStyle w:val="NoSpacing"/>
              <w:rPr>
                <w:rFonts w:ascii="Arial" w:hAnsi="Arial" w:cs="Arial"/>
                <w:b/>
                <w:bCs/>
                <w:sz w:val="20"/>
                <w:szCs w:val="20"/>
              </w:rPr>
            </w:pPr>
            <w:r w:rsidRPr="005A2497">
              <w:rPr>
                <w:rFonts w:ascii="Arial" w:hAnsi="Arial" w:cs="Arial"/>
                <w:b/>
                <w:bCs/>
                <w:sz w:val="20"/>
                <w:szCs w:val="20"/>
              </w:rPr>
              <w:t>Social</w:t>
            </w:r>
          </w:p>
        </w:tc>
        <w:tc>
          <w:tcPr>
            <w:tcW w:w="7005" w:type="dxa"/>
          </w:tcPr>
          <w:p w:rsidRPr="005A2497" w:rsidR="007C5A82" w:rsidP="00035CB3" w:rsidRDefault="1B6F8A44" w14:paraId="2CA2719C" w14:textId="6159CD90">
            <w:pPr>
              <w:pStyle w:val="NoSpacing"/>
              <w:rPr>
                <w:rFonts w:ascii="Arial" w:hAnsi="Arial" w:cs="Arial"/>
                <w:sz w:val="20"/>
                <w:szCs w:val="20"/>
              </w:rPr>
            </w:pPr>
            <w:r w:rsidRPr="1C8BC47B">
              <w:rPr>
                <w:rFonts w:ascii="Arial" w:hAnsi="Arial" w:cs="Arial"/>
                <w:sz w:val="20"/>
                <w:szCs w:val="20"/>
              </w:rPr>
              <w:t xml:space="preserve">Impact of </w:t>
            </w:r>
            <w:r w:rsidRPr="1C8BC47B" w:rsidR="17822CCF">
              <w:rPr>
                <w:rFonts w:ascii="Arial" w:hAnsi="Arial" w:cs="Arial"/>
                <w:sz w:val="20"/>
                <w:szCs w:val="20"/>
              </w:rPr>
              <w:t>S</w:t>
            </w:r>
            <w:r w:rsidRPr="1C8BC47B">
              <w:rPr>
                <w:rFonts w:ascii="Arial" w:hAnsi="Arial" w:cs="Arial"/>
                <w:sz w:val="20"/>
                <w:szCs w:val="20"/>
              </w:rPr>
              <w:t xml:space="preserve">ocial </w:t>
            </w:r>
            <w:r w:rsidRPr="1C8BC47B" w:rsidR="60D3F3D3">
              <w:rPr>
                <w:rFonts w:ascii="Arial" w:hAnsi="Arial" w:cs="Arial"/>
                <w:sz w:val="20"/>
                <w:szCs w:val="20"/>
              </w:rPr>
              <w:t>V</w:t>
            </w:r>
            <w:r w:rsidRPr="1C8BC47B">
              <w:rPr>
                <w:rFonts w:ascii="Arial" w:hAnsi="Arial" w:cs="Arial"/>
                <w:sz w:val="20"/>
                <w:szCs w:val="20"/>
              </w:rPr>
              <w:t xml:space="preserve">alue and the measurement and benefits realised by deploying </w:t>
            </w:r>
            <w:r w:rsidRPr="1C8BC47B" w:rsidR="3A044435">
              <w:rPr>
                <w:rFonts w:ascii="Arial" w:hAnsi="Arial" w:cs="Arial"/>
                <w:sz w:val="20"/>
                <w:szCs w:val="20"/>
              </w:rPr>
              <w:t>S</w:t>
            </w:r>
            <w:r w:rsidRPr="1C8BC47B">
              <w:rPr>
                <w:rFonts w:ascii="Arial" w:hAnsi="Arial" w:cs="Arial"/>
                <w:sz w:val="20"/>
                <w:szCs w:val="20"/>
              </w:rPr>
              <w:t xml:space="preserve">ocial </w:t>
            </w:r>
            <w:r w:rsidRPr="1C8BC47B" w:rsidR="68261B50">
              <w:rPr>
                <w:rFonts w:ascii="Arial" w:hAnsi="Arial" w:cs="Arial"/>
                <w:sz w:val="20"/>
                <w:szCs w:val="20"/>
              </w:rPr>
              <w:t>V</w:t>
            </w:r>
            <w:r w:rsidRPr="1C8BC47B">
              <w:rPr>
                <w:rFonts w:ascii="Arial" w:hAnsi="Arial" w:cs="Arial"/>
                <w:sz w:val="20"/>
                <w:szCs w:val="20"/>
              </w:rPr>
              <w:t>alue into contracts</w:t>
            </w:r>
            <w:r w:rsidRPr="1C8BC47B" w:rsidR="1C2A7502">
              <w:rPr>
                <w:rFonts w:ascii="Arial" w:hAnsi="Arial" w:cs="Arial"/>
                <w:sz w:val="20"/>
                <w:szCs w:val="20"/>
              </w:rPr>
              <w:t>.</w:t>
            </w:r>
          </w:p>
        </w:tc>
      </w:tr>
      <w:tr w:rsidRPr="005A2497" w:rsidR="007C5A82" w:rsidTr="58B673BF" w14:paraId="1C510A8A" w14:textId="3BE7C0F4">
        <w:trPr>
          <w:trHeight w:val="300"/>
        </w:trPr>
        <w:tc>
          <w:tcPr>
            <w:tcW w:w="2068" w:type="dxa"/>
            <w:shd w:val="clear" w:color="auto" w:fill="66B0AB"/>
          </w:tcPr>
          <w:p w:rsidRPr="005A2497" w:rsidR="007C5A82" w:rsidP="00035CB3" w:rsidRDefault="004143C4" w14:paraId="25AE1B01" w14:textId="54EC7FB0">
            <w:pPr>
              <w:pStyle w:val="NoSpacing"/>
              <w:rPr>
                <w:rFonts w:ascii="Arial" w:hAnsi="Arial" w:cs="Arial"/>
                <w:b/>
                <w:bCs/>
                <w:sz w:val="20"/>
                <w:szCs w:val="20"/>
              </w:rPr>
            </w:pPr>
            <w:r w:rsidRPr="005A2497">
              <w:rPr>
                <w:rFonts w:ascii="Arial" w:hAnsi="Arial" w:cs="Arial"/>
                <w:b/>
                <w:bCs/>
                <w:sz w:val="20"/>
                <w:szCs w:val="20"/>
              </w:rPr>
              <w:t>Economic</w:t>
            </w:r>
          </w:p>
        </w:tc>
        <w:tc>
          <w:tcPr>
            <w:tcW w:w="7005" w:type="dxa"/>
          </w:tcPr>
          <w:p w:rsidRPr="005A2497" w:rsidR="007C5A82" w:rsidP="00035CB3" w:rsidRDefault="2ADC3288" w14:paraId="234EAD09" w14:textId="577BAD40">
            <w:pPr>
              <w:pStyle w:val="NoSpacing"/>
              <w:rPr>
                <w:rFonts w:ascii="Arial" w:hAnsi="Arial" w:cs="Arial"/>
                <w:sz w:val="20"/>
                <w:szCs w:val="20"/>
              </w:rPr>
            </w:pPr>
            <w:r w:rsidRPr="1C8BC47B">
              <w:rPr>
                <w:rFonts w:ascii="Arial" w:hAnsi="Arial" w:cs="Arial"/>
                <w:sz w:val="20"/>
                <w:szCs w:val="20"/>
              </w:rPr>
              <w:t xml:space="preserve">Savings realised through improved </w:t>
            </w:r>
            <w:r w:rsidRPr="1C8BC47B" w:rsidR="5174A538">
              <w:rPr>
                <w:rFonts w:ascii="Arial" w:hAnsi="Arial" w:cs="Arial"/>
                <w:sz w:val="20"/>
                <w:szCs w:val="20"/>
              </w:rPr>
              <w:t>C</w:t>
            </w:r>
            <w:r w:rsidRPr="1C8BC47B">
              <w:rPr>
                <w:rFonts w:ascii="Arial" w:hAnsi="Arial" w:cs="Arial"/>
                <w:sz w:val="20"/>
                <w:szCs w:val="20"/>
              </w:rPr>
              <w:t xml:space="preserve">ontract </w:t>
            </w:r>
            <w:r w:rsidRPr="1C8BC47B" w:rsidR="09D3DCE1">
              <w:rPr>
                <w:rFonts w:ascii="Arial" w:hAnsi="Arial" w:cs="Arial"/>
                <w:sz w:val="20"/>
                <w:szCs w:val="20"/>
              </w:rPr>
              <w:t>M</w:t>
            </w:r>
            <w:r w:rsidRPr="1C8BC47B">
              <w:rPr>
                <w:rFonts w:ascii="Arial" w:hAnsi="Arial" w:cs="Arial"/>
                <w:sz w:val="20"/>
                <w:szCs w:val="20"/>
              </w:rPr>
              <w:t>anagement</w:t>
            </w:r>
            <w:r w:rsidRPr="1C8BC47B" w:rsidR="7DDA9DB6">
              <w:rPr>
                <w:rFonts w:ascii="Arial" w:hAnsi="Arial" w:cs="Arial"/>
                <w:sz w:val="20"/>
                <w:szCs w:val="20"/>
              </w:rPr>
              <w:t>.</w:t>
            </w:r>
          </w:p>
        </w:tc>
      </w:tr>
      <w:tr w:rsidRPr="005A2497" w:rsidR="007C5A82" w:rsidTr="58B673BF" w14:paraId="3B09C3E4" w14:textId="0ED286C5">
        <w:trPr>
          <w:trHeight w:val="300"/>
        </w:trPr>
        <w:tc>
          <w:tcPr>
            <w:tcW w:w="2068" w:type="dxa"/>
            <w:shd w:val="clear" w:color="auto" w:fill="66B0AB"/>
          </w:tcPr>
          <w:p w:rsidRPr="005A2497" w:rsidR="007C5A82" w:rsidP="00035CB3" w:rsidRDefault="004143C4" w14:paraId="6C0E028F" w14:textId="06E04E12">
            <w:pPr>
              <w:pStyle w:val="NoSpacing"/>
              <w:rPr>
                <w:rFonts w:ascii="Arial" w:hAnsi="Arial" w:cs="Arial"/>
                <w:b/>
                <w:bCs/>
                <w:sz w:val="20"/>
                <w:szCs w:val="20"/>
              </w:rPr>
            </w:pPr>
            <w:r w:rsidRPr="005A2497">
              <w:rPr>
                <w:rFonts w:ascii="Arial" w:hAnsi="Arial" w:cs="Arial"/>
                <w:b/>
                <w:bCs/>
                <w:sz w:val="20"/>
                <w:szCs w:val="20"/>
              </w:rPr>
              <w:t>Environmental</w:t>
            </w:r>
          </w:p>
        </w:tc>
        <w:tc>
          <w:tcPr>
            <w:tcW w:w="7005" w:type="dxa"/>
          </w:tcPr>
          <w:p w:rsidRPr="005A2497" w:rsidR="007C5A82" w:rsidP="00035CB3" w:rsidRDefault="528088E6" w14:paraId="70850B27" w14:textId="0196929A">
            <w:pPr>
              <w:pStyle w:val="NoSpacing"/>
              <w:rPr>
                <w:rFonts w:ascii="Arial" w:hAnsi="Arial" w:cs="Arial"/>
                <w:sz w:val="20"/>
                <w:szCs w:val="20"/>
              </w:rPr>
            </w:pPr>
            <w:r w:rsidRPr="6CE76D7F">
              <w:rPr>
                <w:rFonts w:ascii="Arial" w:hAnsi="Arial" w:cs="Arial"/>
                <w:sz w:val="20"/>
                <w:szCs w:val="20"/>
              </w:rPr>
              <w:t>Carbon procurement analytics being utilised and reviewed by Commissiong Boards to understand the impact third parties are having on the environment.</w:t>
            </w:r>
          </w:p>
        </w:tc>
      </w:tr>
    </w:tbl>
    <w:p w:rsidRPr="005A2497" w:rsidR="007C5A82" w:rsidP="00843326" w:rsidRDefault="007C5A82" w14:paraId="7FF01DC2" w14:textId="77777777">
      <w:pPr>
        <w:pStyle w:val="NoSpacing"/>
        <w:rPr>
          <w:rFonts w:ascii="Arial" w:hAnsi="Arial" w:cs="Arial"/>
          <w:sz w:val="20"/>
          <w:szCs w:val="20"/>
        </w:rPr>
      </w:pPr>
    </w:p>
    <w:p w:rsidRPr="00035CB3" w:rsidR="00571824" w:rsidP="00035CB3" w:rsidRDefault="2A67B1CB" w14:paraId="774BB015" w14:textId="246B2C75">
      <w:pPr>
        <w:pStyle w:val="NoSpacing"/>
        <w:shd w:val="clear" w:color="auto" w:fill="7030A0"/>
        <w:rPr>
          <w:rFonts w:ascii="Arial" w:hAnsi="Arial" w:cs="Arial"/>
          <w:b/>
          <w:bCs/>
          <w:color w:val="FFFFFF" w:themeColor="background1"/>
          <w:sz w:val="20"/>
          <w:szCs w:val="20"/>
        </w:rPr>
      </w:pPr>
      <w:r w:rsidRPr="1C8BC47B">
        <w:rPr>
          <w:rFonts w:ascii="Arial" w:hAnsi="Arial" w:cs="Arial"/>
          <w:b/>
          <w:bCs/>
          <w:color w:val="FFFFFF" w:themeColor="background1"/>
          <w:sz w:val="20"/>
          <w:szCs w:val="20"/>
        </w:rPr>
        <w:t>R</w:t>
      </w:r>
      <w:r w:rsidRPr="1C8BC47B" w:rsidR="1380BBDD">
        <w:rPr>
          <w:rFonts w:ascii="Arial" w:hAnsi="Arial" w:cs="Arial"/>
          <w:b/>
          <w:bCs/>
          <w:color w:val="FFFFFF" w:themeColor="background1"/>
          <w:sz w:val="20"/>
          <w:szCs w:val="20"/>
        </w:rPr>
        <w:t>esources</w:t>
      </w:r>
      <w:r w:rsidRPr="1C8BC47B" w:rsidR="1484C134">
        <w:rPr>
          <w:rFonts w:ascii="Arial" w:hAnsi="Arial" w:cs="Arial"/>
          <w:b/>
          <w:bCs/>
          <w:color w:val="FFFFFF" w:themeColor="background1"/>
          <w:sz w:val="20"/>
          <w:szCs w:val="20"/>
        </w:rPr>
        <w:t xml:space="preserve"> and Stakeholders</w:t>
      </w:r>
    </w:p>
    <w:p w:rsidR="00E00CE0" w:rsidP="00843326" w:rsidRDefault="00E00CE0" w14:paraId="1B7D88AC" w14:textId="77777777">
      <w:pPr>
        <w:pStyle w:val="NoSpacing"/>
        <w:rPr>
          <w:rFonts w:ascii="Arial" w:hAnsi="Arial" w:cs="Arial"/>
          <w:sz w:val="20"/>
          <w:szCs w:val="20"/>
        </w:rPr>
      </w:pPr>
    </w:p>
    <w:p w:rsidRPr="005A2497" w:rsidR="002A1C25" w:rsidP="00843326" w:rsidRDefault="003D2D72" w14:paraId="6C869535" w14:textId="4577AEE6">
      <w:pPr>
        <w:pStyle w:val="NoSpacing"/>
        <w:rPr>
          <w:rFonts w:ascii="Arial" w:hAnsi="Arial" w:cs="Arial"/>
          <w:sz w:val="20"/>
          <w:szCs w:val="20"/>
        </w:rPr>
      </w:pPr>
      <w:r>
        <w:rPr>
          <w:rFonts w:ascii="Arial" w:hAnsi="Arial" w:cs="Arial"/>
          <w:sz w:val="20"/>
          <w:szCs w:val="20"/>
        </w:rPr>
        <w:t>The following summarises the team, and wider stakeholders involved in the project:</w:t>
      </w:r>
    </w:p>
    <w:tbl>
      <w:tblPr>
        <w:tblStyle w:val="TableGrid"/>
        <w:tblW w:w="0" w:type="auto"/>
        <w:tblLook w:val="04A0" w:firstRow="1" w:lastRow="0" w:firstColumn="1" w:lastColumn="0" w:noHBand="0" w:noVBand="1"/>
      </w:tblPr>
      <w:tblGrid>
        <w:gridCol w:w="2122"/>
        <w:gridCol w:w="6894"/>
      </w:tblGrid>
      <w:tr w:rsidRPr="005A2497" w:rsidR="00843326" w:rsidTr="1C8BC47B" w14:paraId="7A4406D2" w14:textId="0DCC980B">
        <w:tc>
          <w:tcPr>
            <w:tcW w:w="2122" w:type="dxa"/>
            <w:shd w:val="clear" w:color="auto" w:fill="66B0AB"/>
          </w:tcPr>
          <w:p w:rsidRPr="005A2497" w:rsidR="00843326" w:rsidP="00843326" w:rsidRDefault="00843326" w14:paraId="2F950D55" w14:textId="231E582F">
            <w:pPr>
              <w:pStyle w:val="NoSpacing"/>
              <w:rPr>
                <w:rFonts w:ascii="Arial" w:hAnsi="Arial" w:cs="Arial"/>
                <w:b/>
                <w:bCs/>
                <w:sz w:val="20"/>
                <w:szCs w:val="20"/>
              </w:rPr>
            </w:pPr>
            <w:r w:rsidRPr="005A2497">
              <w:rPr>
                <w:rFonts w:ascii="Arial" w:hAnsi="Arial" w:cs="Arial"/>
                <w:b/>
                <w:bCs/>
                <w:sz w:val="20"/>
                <w:szCs w:val="20"/>
              </w:rPr>
              <w:t>Direct Team</w:t>
            </w:r>
          </w:p>
        </w:tc>
        <w:tc>
          <w:tcPr>
            <w:tcW w:w="6894" w:type="dxa"/>
          </w:tcPr>
          <w:p w:rsidRPr="005A2497" w:rsidR="00843326" w:rsidP="00843326" w:rsidRDefault="5F81F5F3" w14:paraId="7CF1900B" w14:textId="734BEBEB">
            <w:pPr>
              <w:pStyle w:val="NoSpacing"/>
              <w:rPr>
                <w:rFonts w:ascii="Arial" w:hAnsi="Arial" w:cs="Arial"/>
                <w:sz w:val="20"/>
                <w:szCs w:val="20"/>
              </w:rPr>
            </w:pPr>
            <w:r w:rsidRPr="6CE76D7F">
              <w:rPr>
                <w:rFonts w:ascii="Arial" w:hAnsi="Arial" w:cs="Arial"/>
                <w:sz w:val="20"/>
                <w:szCs w:val="20"/>
              </w:rPr>
              <w:t>Human Engine, LBC Transformation Team, Procurement, Commissioning</w:t>
            </w:r>
          </w:p>
        </w:tc>
      </w:tr>
      <w:tr w:rsidRPr="005A2497" w:rsidR="00843326" w:rsidTr="1C8BC47B" w14:paraId="7EE07A1F" w14:textId="549F86FB">
        <w:tc>
          <w:tcPr>
            <w:tcW w:w="2122" w:type="dxa"/>
            <w:shd w:val="clear" w:color="auto" w:fill="66B0AB"/>
          </w:tcPr>
          <w:p w:rsidRPr="005A2497" w:rsidR="00843326" w:rsidP="00843326" w:rsidRDefault="00843326" w14:paraId="597F2CA4" w14:textId="54198F9F">
            <w:pPr>
              <w:pStyle w:val="NoSpacing"/>
              <w:rPr>
                <w:rFonts w:ascii="Arial" w:hAnsi="Arial" w:cs="Arial"/>
                <w:b/>
                <w:bCs/>
                <w:sz w:val="20"/>
                <w:szCs w:val="20"/>
              </w:rPr>
            </w:pPr>
            <w:r w:rsidRPr="005A2497">
              <w:rPr>
                <w:rFonts w:ascii="Arial" w:hAnsi="Arial" w:cs="Arial"/>
                <w:b/>
                <w:bCs/>
                <w:sz w:val="20"/>
                <w:szCs w:val="20"/>
              </w:rPr>
              <w:t>Stakeholders – Governance and Decision Making</w:t>
            </w:r>
          </w:p>
        </w:tc>
        <w:tc>
          <w:tcPr>
            <w:tcW w:w="6894" w:type="dxa"/>
          </w:tcPr>
          <w:p w:rsidRPr="005A2497" w:rsidR="00843326" w:rsidP="6CE76D7F" w:rsidRDefault="2F99C7A6" w14:paraId="62C01898" w14:textId="2506A712">
            <w:pPr>
              <w:pStyle w:val="NoSpacing"/>
              <w:rPr>
                <w:rFonts w:ascii="Arial" w:hAnsi="Arial" w:cs="Arial"/>
                <w:sz w:val="20"/>
                <w:szCs w:val="20"/>
              </w:rPr>
            </w:pPr>
            <w:r w:rsidRPr="6CE76D7F">
              <w:rPr>
                <w:rFonts w:ascii="Arial" w:hAnsi="Arial" w:cs="Arial"/>
                <w:sz w:val="20"/>
                <w:szCs w:val="20"/>
              </w:rPr>
              <w:t>Procurement Team</w:t>
            </w:r>
          </w:p>
          <w:p w:rsidRPr="005A2497" w:rsidR="00843326" w:rsidP="6CE76D7F" w:rsidRDefault="2F99C7A6" w14:paraId="021EAAFF" w14:textId="3128E618">
            <w:pPr>
              <w:pStyle w:val="NoSpacing"/>
              <w:rPr>
                <w:rFonts w:ascii="Arial" w:hAnsi="Arial" w:cs="Arial"/>
                <w:sz w:val="20"/>
                <w:szCs w:val="20"/>
              </w:rPr>
            </w:pPr>
            <w:r w:rsidRPr="6CE76D7F">
              <w:rPr>
                <w:rFonts w:ascii="Arial" w:hAnsi="Arial" w:cs="Arial"/>
                <w:sz w:val="20"/>
                <w:szCs w:val="20"/>
              </w:rPr>
              <w:t>Commissioning Boards</w:t>
            </w:r>
          </w:p>
          <w:p w:rsidRPr="005A2497" w:rsidR="00843326" w:rsidP="6CE76D7F" w:rsidRDefault="2F99C7A6" w14:paraId="6E85456B" w14:textId="37CAB282">
            <w:pPr>
              <w:pStyle w:val="NoSpacing"/>
              <w:rPr>
                <w:rFonts w:ascii="Arial" w:hAnsi="Arial" w:cs="Arial"/>
                <w:sz w:val="20"/>
                <w:szCs w:val="20"/>
              </w:rPr>
            </w:pPr>
            <w:r w:rsidRPr="6CE76D7F">
              <w:rPr>
                <w:rFonts w:ascii="Arial" w:hAnsi="Arial" w:cs="Arial"/>
                <w:sz w:val="20"/>
                <w:szCs w:val="20"/>
              </w:rPr>
              <w:t>Commissioning</w:t>
            </w:r>
          </w:p>
          <w:p w:rsidRPr="005A2497" w:rsidR="00843326" w:rsidP="00843326" w:rsidRDefault="2F99C7A6" w14:paraId="070A2F84" w14:textId="76E3B009">
            <w:pPr>
              <w:pStyle w:val="NoSpacing"/>
              <w:rPr>
                <w:rFonts w:ascii="Arial" w:hAnsi="Arial" w:cs="Arial"/>
                <w:sz w:val="20"/>
                <w:szCs w:val="20"/>
              </w:rPr>
            </w:pPr>
            <w:r w:rsidRPr="6CE76D7F">
              <w:rPr>
                <w:rFonts w:ascii="Arial" w:hAnsi="Arial" w:cs="Arial"/>
                <w:sz w:val="20"/>
                <w:szCs w:val="20"/>
              </w:rPr>
              <w:t>Finance</w:t>
            </w:r>
          </w:p>
        </w:tc>
      </w:tr>
      <w:tr w:rsidRPr="005A2497" w:rsidR="00843326" w:rsidTr="1C8BC47B" w14:paraId="39C051C0" w14:textId="7FFA811A">
        <w:tc>
          <w:tcPr>
            <w:tcW w:w="2122" w:type="dxa"/>
            <w:shd w:val="clear" w:color="auto" w:fill="66B0AB"/>
          </w:tcPr>
          <w:p w:rsidRPr="005A2497" w:rsidR="00843326" w:rsidP="00843326" w:rsidRDefault="00843326" w14:paraId="7F0B1DDA" w14:textId="33794406">
            <w:pPr>
              <w:pStyle w:val="NoSpacing"/>
              <w:rPr>
                <w:rFonts w:ascii="Arial" w:hAnsi="Arial" w:cs="Arial"/>
                <w:b/>
                <w:bCs/>
                <w:sz w:val="20"/>
                <w:szCs w:val="20"/>
              </w:rPr>
            </w:pPr>
            <w:r w:rsidRPr="005A2497">
              <w:rPr>
                <w:rFonts w:ascii="Arial" w:hAnsi="Arial" w:cs="Arial"/>
                <w:b/>
                <w:bCs/>
                <w:sz w:val="20"/>
                <w:szCs w:val="20"/>
              </w:rPr>
              <w:t>Stakeholders – Customers / Beneficiaries</w:t>
            </w:r>
          </w:p>
        </w:tc>
        <w:tc>
          <w:tcPr>
            <w:tcW w:w="6894" w:type="dxa"/>
          </w:tcPr>
          <w:p w:rsidRPr="005A2497" w:rsidR="00843326" w:rsidP="00843326" w:rsidRDefault="0A14154A" w14:paraId="4837BA41" w14:textId="37BBB6DE">
            <w:pPr>
              <w:pStyle w:val="NoSpacing"/>
              <w:rPr>
                <w:rFonts w:ascii="Arial" w:hAnsi="Arial" w:cs="Arial"/>
                <w:sz w:val="20"/>
                <w:szCs w:val="20"/>
              </w:rPr>
            </w:pPr>
            <w:r w:rsidRPr="1C8BC47B">
              <w:rPr>
                <w:rFonts w:ascii="Arial" w:hAnsi="Arial" w:cs="Arial"/>
                <w:sz w:val="20"/>
                <w:szCs w:val="20"/>
              </w:rPr>
              <w:t>All Contract Managers, Procurement, Commissioning</w:t>
            </w:r>
          </w:p>
        </w:tc>
      </w:tr>
      <w:tr w:rsidRPr="005A2497" w:rsidR="00843326" w:rsidTr="1C8BC47B" w14:paraId="26CB3A8B" w14:textId="030B0C07">
        <w:tc>
          <w:tcPr>
            <w:tcW w:w="2122" w:type="dxa"/>
            <w:shd w:val="clear" w:color="auto" w:fill="66B0AB"/>
          </w:tcPr>
          <w:p w:rsidRPr="005A2497" w:rsidR="00843326" w:rsidP="00843326" w:rsidRDefault="00843326" w14:paraId="3E88F27B" w14:textId="7E66EFAB">
            <w:pPr>
              <w:pStyle w:val="NoSpacing"/>
              <w:rPr>
                <w:rFonts w:ascii="Arial" w:hAnsi="Arial" w:cs="Arial"/>
                <w:b/>
                <w:bCs/>
                <w:sz w:val="20"/>
                <w:szCs w:val="20"/>
              </w:rPr>
            </w:pPr>
            <w:r w:rsidRPr="005A2497">
              <w:rPr>
                <w:rFonts w:ascii="Arial" w:hAnsi="Arial" w:cs="Arial"/>
                <w:b/>
                <w:bCs/>
                <w:sz w:val="20"/>
                <w:szCs w:val="20"/>
              </w:rPr>
              <w:t>Stakeholders – Providers / Delivery Teams / Partners</w:t>
            </w:r>
          </w:p>
        </w:tc>
        <w:tc>
          <w:tcPr>
            <w:tcW w:w="6894" w:type="dxa"/>
          </w:tcPr>
          <w:p w:rsidRPr="005A2497" w:rsidR="00843326" w:rsidP="00843326" w:rsidRDefault="58A44B43" w14:paraId="59D9192C" w14:textId="0B7F8CDF">
            <w:pPr>
              <w:pStyle w:val="NoSpacing"/>
              <w:rPr>
                <w:rFonts w:ascii="Arial" w:hAnsi="Arial" w:cs="Arial"/>
                <w:sz w:val="20"/>
                <w:szCs w:val="20"/>
              </w:rPr>
            </w:pPr>
            <w:r w:rsidRPr="1C8BC47B">
              <w:rPr>
                <w:rFonts w:ascii="Arial" w:hAnsi="Arial" w:cs="Arial"/>
                <w:sz w:val="20"/>
                <w:szCs w:val="20"/>
              </w:rPr>
              <w:t>Providers</w:t>
            </w:r>
            <w:r w:rsidRPr="1C8BC47B" w:rsidR="1EC4478F">
              <w:rPr>
                <w:rFonts w:ascii="Arial" w:hAnsi="Arial" w:cs="Arial"/>
                <w:sz w:val="20"/>
                <w:szCs w:val="20"/>
              </w:rPr>
              <w:t xml:space="preserve"> </w:t>
            </w:r>
            <w:r w:rsidRPr="1C8BC47B">
              <w:rPr>
                <w:rFonts w:ascii="Arial" w:hAnsi="Arial" w:cs="Arial"/>
                <w:sz w:val="20"/>
                <w:szCs w:val="20"/>
              </w:rPr>
              <w:t>/ suppliers</w:t>
            </w:r>
          </w:p>
        </w:tc>
      </w:tr>
    </w:tbl>
    <w:p w:rsidRPr="005A2497" w:rsidR="007F32C3" w:rsidP="00843326" w:rsidRDefault="007F32C3" w14:paraId="69F0AB4B" w14:textId="31A188E6">
      <w:pPr>
        <w:pStyle w:val="NoSpacing"/>
        <w:rPr>
          <w:rFonts w:ascii="Arial" w:hAnsi="Arial" w:cs="Arial"/>
          <w:sz w:val="20"/>
          <w:szCs w:val="20"/>
        </w:rPr>
      </w:pPr>
    </w:p>
    <w:p w:rsidRPr="00035CB3" w:rsidR="00531020" w:rsidP="00035CB3" w:rsidRDefault="00531020" w14:paraId="50E841B3" w14:textId="77777777">
      <w:pPr>
        <w:pStyle w:val="NoSpacing"/>
        <w:shd w:val="clear" w:color="auto" w:fill="7030A0"/>
        <w:rPr>
          <w:rFonts w:ascii="Arial" w:hAnsi="Arial" w:cs="Arial"/>
          <w:b/>
          <w:bCs/>
          <w:color w:val="FFFFFF" w:themeColor="background1"/>
          <w:sz w:val="20"/>
          <w:szCs w:val="20"/>
        </w:rPr>
      </w:pPr>
      <w:r w:rsidRPr="00035CB3">
        <w:rPr>
          <w:rFonts w:ascii="Arial" w:hAnsi="Arial" w:cs="Arial"/>
          <w:b/>
          <w:bCs/>
          <w:color w:val="FFFFFF" w:themeColor="background1"/>
          <w:sz w:val="20"/>
          <w:szCs w:val="20"/>
        </w:rPr>
        <w:t>Risks</w:t>
      </w:r>
    </w:p>
    <w:p w:rsidRPr="005A2497" w:rsidR="00531020" w:rsidP="00843326" w:rsidRDefault="00531020" w14:paraId="792D479E" w14:textId="77777777">
      <w:pPr>
        <w:pStyle w:val="NoSpacing"/>
        <w:rPr>
          <w:rFonts w:ascii="Arial" w:hAnsi="Arial" w:cs="Arial"/>
          <w:sz w:val="20"/>
          <w:szCs w:val="20"/>
        </w:rPr>
      </w:pPr>
      <w:r w:rsidRPr="005A2497">
        <w:rPr>
          <w:rFonts w:ascii="Arial" w:hAnsi="Arial" w:cs="Arial"/>
          <w:sz w:val="20"/>
          <w:szCs w:val="20"/>
        </w:rPr>
        <w:t>The following top risks should be considered for this project:</w:t>
      </w:r>
    </w:p>
    <w:tbl>
      <w:tblPr>
        <w:tblStyle w:val="TableGrid"/>
        <w:tblW w:w="0" w:type="auto"/>
        <w:tblLook w:val="04A0" w:firstRow="1" w:lastRow="0" w:firstColumn="1" w:lastColumn="0" w:noHBand="0" w:noVBand="1"/>
      </w:tblPr>
      <w:tblGrid>
        <w:gridCol w:w="703"/>
        <w:gridCol w:w="2299"/>
        <w:gridCol w:w="1246"/>
        <w:gridCol w:w="1276"/>
        <w:gridCol w:w="1275"/>
        <w:gridCol w:w="2217"/>
      </w:tblGrid>
      <w:tr w:rsidRPr="005A2497" w:rsidR="00531020" w:rsidTr="58B673BF" w14:paraId="6A7E6517" w14:textId="77777777">
        <w:trPr>
          <w:trHeight w:val="120"/>
        </w:trPr>
        <w:tc>
          <w:tcPr>
            <w:tcW w:w="703" w:type="dxa"/>
            <w:shd w:val="clear" w:color="auto" w:fill="66B0AB"/>
          </w:tcPr>
          <w:p w:rsidRPr="005A2497" w:rsidR="00531020" w:rsidP="00843326" w:rsidRDefault="00531020" w14:paraId="59215F33" w14:textId="77777777">
            <w:pPr>
              <w:pStyle w:val="NoSpacing"/>
              <w:rPr>
                <w:rFonts w:ascii="Arial" w:hAnsi="Arial" w:cs="Arial"/>
                <w:b/>
                <w:bCs/>
                <w:sz w:val="20"/>
                <w:szCs w:val="20"/>
              </w:rPr>
            </w:pPr>
            <w:r w:rsidRPr="005A2497">
              <w:rPr>
                <w:rFonts w:ascii="Arial" w:hAnsi="Arial" w:cs="Arial"/>
                <w:b/>
                <w:bCs/>
                <w:sz w:val="20"/>
                <w:szCs w:val="20"/>
              </w:rPr>
              <w:t>Ref</w:t>
            </w:r>
          </w:p>
        </w:tc>
        <w:tc>
          <w:tcPr>
            <w:tcW w:w="2299" w:type="dxa"/>
            <w:shd w:val="clear" w:color="auto" w:fill="66B0AB"/>
          </w:tcPr>
          <w:p w:rsidRPr="005A2497" w:rsidR="00531020" w:rsidP="00843326" w:rsidRDefault="00531020" w14:paraId="704E0975" w14:textId="77777777">
            <w:pPr>
              <w:pStyle w:val="NoSpacing"/>
              <w:rPr>
                <w:rFonts w:ascii="Arial" w:hAnsi="Arial" w:cs="Arial"/>
                <w:b/>
                <w:bCs/>
                <w:sz w:val="20"/>
                <w:szCs w:val="20"/>
              </w:rPr>
            </w:pPr>
            <w:r w:rsidRPr="005A2497">
              <w:rPr>
                <w:rFonts w:ascii="Arial" w:hAnsi="Arial" w:cs="Arial"/>
                <w:b/>
                <w:bCs/>
                <w:sz w:val="20"/>
                <w:szCs w:val="20"/>
              </w:rPr>
              <w:t>Risk</w:t>
            </w:r>
          </w:p>
        </w:tc>
        <w:tc>
          <w:tcPr>
            <w:tcW w:w="1246" w:type="dxa"/>
            <w:shd w:val="clear" w:color="auto" w:fill="66B0AB"/>
          </w:tcPr>
          <w:p w:rsidRPr="005A2497" w:rsidR="00531020" w:rsidP="00843326" w:rsidRDefault="00531020" w14:paraId="7CCDB6DA" w14:textId="77777777">
            <w:pPr>
              <w:pStyle w:val="NoSpacing"/>
              <w:rPr>
                <w:rFonts w:ascii="Arial" w:hAnsi="Arial" w:cs="Arial"/>
                <w:b/>
                <w:bCs/>
                <w:sz w:val="20"/>
                <w:szCs w:val="20"/>
              </w:rPr>
            </w:pPr>
            <w:r w:rsidRPr="005A2497">
              <w:rPr>
                <w:rFonts w:ascii="Arial" w:hAnsi="Arial" w:cs="Arial"/>
                <w:b/>
                <w:bCs/>
                <w:sz w:val="20"/>
                <w:szCs w:val="20"/>
              </w:rPr>
              <w:t>Likelihood</w:t>
            </w:r>
          </w:p>
        </w:tc>
        <w:tc>
          <w:tcPr>
            <w:tcW w:w="1276" w:type="dxa"/>
            <w:shd w:val="clear" w:color="auto" w:fill="66B0AB"/>
          </w:tcPr>
          <w:p w:rsidRPr="005A2497" w:rsidR="00531020" w:rsidP="00843326" w:rsidRDefault="00531020" w14:paraId="7AECB204" w14:textId="77777777">
            <w:pPr>
              <w:pStyle w:val="NoSpacing"/>
              <w:rPr>
                <w:rFonts w:ascii="Arial" w:hAnsi="Arial" w:cs="Arial"/>
                <w:b/>
                <w:bCs/>
                <w:sz w:val="20"/>
                <w:szCs w:val="20"/>
              </w:rPr>
            </w:pPr>
            <w:r w:rsidRPr="005A2497">
              <w:rPr>
                <w:rFonts w:ascii="Arial" w:hAnsi="Arial" w:cs="Arial"/>
                <w:b/>
                <w:bCs/>
                <w:sz w:val="20"/>
                <w:szCs w:val="20"/>
              </w:rPr>
              <w:t>Impact</w:t>
            </w:r>
          </w:p>
        </w:tc>
        <w:tc>
          <w:tcPr>
            <w:tcW w:w="1275" w:type="dxa"/>
            <w:shd w:val="clear" w:color="auto" w:fill="66B0AB"/>
          </w:tcPr>
          <w:p w:rsidRPr="005A2497" w:rsidR="00531020" w:rsidP="00843326" w:rsidRDefault="00531020" w14:paraId="65764826" w14:textId="77777777">
            <w:pPr>
              <w:pStyle w:val="NoSpacing"/>
              <w:rPr>
                <w:rFonts w:ascii="Arial" w:hAnsi="Arial" w:cs="Arial"/>
                <w:b/>
                <w:bCs/>
                <w:sz w:val="20"/>
                <w:szCs w:val="20"/>
              </w:rPr>
            </w:pPr>
            <w:r w:rsidRPr="005A2497">
              <w:rPr>
                <w:rFonts w:ascii="Arial" w:hAnsi="Arial" w:cs="Arial"/>
                <w:b/>
                <w:bCs/>
                <w:sz w:val="20"/>
                <w:szCs w:val="20"/>
              </w:rPr>
              <w:t>Total</w:t>
            </w:r>
          </w:p>
        </w:tc>
        <w:tc>
          <w:tcPr>
            <w:tcW w:w="2217" w:type="dxa"/>
            <w:shd w:val="clear" w:color="auto" w:fill="66B0AB"/>
          </w:tcPr>
          <w:p w:rsidRPr="005A2497" w:rsidR="00531020" w:rsidP="00843326" w:rsidRDefault="00531020" w14:paraId="05BACE06" w14:textId="77777777">
            <w:pPr>
              <w:pStyle w:val="NoSpacing"/>
              <w:rPr>
                <w:rFonts w:ascii="Arial" w:hAnsi="Arial" w:cs="Arial"/>
                <w:b/>
                <w:bCs/>
                <w:sz w:val="20"/>
                <w:szCs w:val="20"/>
              </w:rPr>
            </w:pPr>
            <w:r w:rsidRPr="005A2497">
              <w:rPr>
                <w:rFonts w:ascii="Arial" w:hAnsi="Arial" w:cs="Arial"/>
                <w:b/>
                <w:bCs/>
                <w:sz w:val="20"/>
                <w:szCs w:val="20"/>
              </w:rPr>
              <w:t>Mitigations</w:t>
            </w:r>
          </w:p>
        </w:tc>
      </w:tr>
      <w:tr w:rsidRPr="005A2497" w:rsidR="00531020" w:rsidTr="58B673BF" w14:paraId="7F21F007" w14:textId="77777777">
        <w:tc>
          <w:tcPr>
            <w:tcW w:w="703" w:type="dxa"/>
          </w:tcPr>
          <w:p w:rsidRPr="005A2497" w:rsidR="00531020" w:rsidP="00843326" w:rsidRDefault="00531020" w14:paraId="0DF903F1" w14:textId="77777777">
            <w:pPr>
              <w:pStyle w:val="NoSpacing"/>
              <w:rPr>
                <w:rFonts w:ascii="Arial" w:hAnsi="Arial" w:cs="Arial"/>
                <w:sz w:val="20"/>
                <w:szCs w:val="20"/>
              </w:rPr>
            </w:pPr>
            <w:r w:rsidRPr="005A2497">
              <w:rPr>
                <w:rFonts w:ascii="Arial" w:hAnsi="Arial" w:cs="Arial"/>
                <w:sz w:val="20"/>
                <w:szCs w:val="20"/>
              </w:rPr>
              <w:t>1</w:t>
            </w:r>
          </w:p>
        </w:tc>
        <w:tc>
          <w:tcPr>
            <w:tcW w:w="2299" w:type="dxa"/>
          </w:tcPr>
          <w:p w:rsidRPr="005A2497" w:rsidR="00531020" w:rsidP="6CE76D7F" w:rsidRDefault="776DDC0C" w14:paraId="2518ED33" w14:textId="521A381D">
            <w:pPr>
              <w:pStyle w:val="NoSpacing"/>
              <w:rPr>
                <w:rFonts w:ascii="Arial" w:hAnsi="Arial" w:cs="Arial"/>
                <w:sz w:val="20"/>
                <w:szCs w:val="20"/>
              </w:rPr>
            </w:pPr>
            <w:r w:rsidRPr="58B673BF">
              <w:rPr>
                <w:rFonts w:ascii="Arial" w:hAnsi="Arial" w:cs="Arial"/>
                <w:sz w:val="20"/>
                <w:szCs w:val="20"/>
              </w:rPr>
              <w:t>PIPS</w:t>
            </w:r>
            <w:r w:rsidRPr="58B673BF" w:rsidR="6D8A687A">
              <w:rPr>
                <w:rFonts w:ascii="Arial" w:hAnsi="Arial" w:cs="Arial"/>
                <w:sz w:val="20"/>
                <w:szCs w:val="20"/>
              </w:rPr>
              <w:t xml:space="preserve"> recommendations</w:t>
            </w:r>
            <w:r w:rsidRPr="58B673BF" w:rsidR="48B62936">
              <w:rPr>
                <w:rFonts w:ascii="Arial" w:hAnsi="Arial" w:cs="Arial"/>
                <w:sz w:val="20"/>
                <w:szCs w:val="20"/>
              </w:rPr>
              <w:t>.</w:t>
            </w:r>
          </w:p>
        </w:tc>
        <w:tc>
          <w:tcPr>
            <w:tcW w:w="1246" w:type="dxa"/>
            <w:vAlign w:val="center"/>
          </w:tcPr>
          <w:p w:rsidRPr="005A2497" w:rsidR="00531020" w:rsidP="6CE76D7F" w:rsidRDefault="5D6454C0" w14:paraId="48507D4B" w14:textId="74666470">
            <w:pPr>
              <w:pStyle w:val="NoSpacing"/>
              <w:rPr>
                <w:rFonts w:ascii="Arial" w:hAnsi="Arial" w:cs="Arial"/>
                <w:sz w:val="20"/>
                <w:szCs w:val="20"/>
              </w:rPr>
            </w:pPr>
            <w:r w:rsidRPr="6CE76D7F">
              <w:rPr>
                <w:rFonts w:ascii="Arial" w:hAnsi="Arial" w:cs="Arial"/>
                <w:sz w:val="20"/>
                <w:szCs w:val="20"/>
              </w:rPr>
              <w:t>4</w:t>
            </w:r>
          </w:p>
        </w:tc>
        <w:tc>
          <w:tcPr>
            <w:tcW w:w="1276" w:type="dxa"/>
            <w:vAlign w:val="center"/>
          </w:tcPr>
          <w:p w:rsidRPr="005A2497" w:rsidR="00531020" w:rsidP="6CE76D7F" w:rsidRDefault="00531020" w14:paraId="52E36FD3" w14:textId="77777777">
            <w:pPr>
              <w:pStyle w:val="NoSpacing"/>
              <w:rPr>
                <w:rFonts w:ascii="Arial" w:hAnsi="Arial" w:cs="Arial"/>
                <w:sz w:val="20"/>
                <w:szCs w:val="20"/>
              </w:rPr>
            </w:pPr>
            <w:r w:rsidRPr="6CE76D7F">
              <w:rPr>
                <w:rFonts w:ascii="Arial" w:hAnsi="Arial" w:cs="Arial"/>
                <w:sz w:val="20"/>
                <w:szCs w:val="20"/>
              </w:rPr>
              <w:t>4</w:t>
            </w:r>
          </w:p>
        </w:tc>
        <w:tc>
          <w:tcPr>
            <w:tcW w:w="1275" w:type="dxa"/>
            <w:vAlign w:val="center"/>
          </w:tcPr>
          <w:p w:rsidRPr="005A2497" w:rsidR="00531020" w:rsidP="6CE76D7F" w:rsidRDefault="00531020" w14:paraId="7A45D9B9" w14:textId="6AC94064">
            <w:pPr>
              <w:pStyle w:val="NoSpacing"/>
              <w:rPr>
                <w:rFonts w:ascii="Arial" w:hAnsi="Arial" w:cs="Arial"/>
                <w:sz w:val="20"/>
                <w:szCs w:val="20"/>
              </w:rPr>
            </w:pPr>
            <w:r w:rsidRPr="6CE76D7F">
              <w:rPr>
                <w:rFonts w:ascii="Arial" w:hAnsi="Arial" w:cs="Arial"/>
                <w:sz w:val="20"/>
                <w:szCs w:val="20"/>
              </w:rPr>
              <w:t>1</w:t>
            </w:r>
            <w:r w:rsidRPr="6CE76D7F" w:rsidR="36E24254">
              <w:rPr>
                <w:rFonts w:ascii="Arial" w:hAnsi="Arial" w:cs="Arial"/>
                <w:sz w:val="20"/>
                <w:szCs w:val="20"/>
              </w:rPr>
              <w:t>6</w:t>
            </w:r>
          </w:p>
        </w:tc>
        <w:tc>
          <w:tcPr>
            <w:tcW w:w="2217" w:type="dxa"/>
          </w:tcPr>
          <w:p w:rsidRPr="005A2497" w:rsidR="00501FC7" w:rsidP="6CE76D7F" w:rsidRDefault="13B82C4F" w14:paraId="64BE99DF" w14:textId="35C1D789">
            <w:pPr>
              <w:pStyle w:val="NoSpacing"/>
              <w:rPr>
                <w:rFonts w:ascii="Arial" w:hAnsi="Arial" w:cs="Arial"/>
                <w:sz w:val="20"/>
                <w:szCs w:val="20"/>
              </w:rPr>
            </w:pPr>
            <w:r w:rsidRPr="1C8BC47B">
              <w:rPr>
                <w:rFonts w:ascii="Arial" w:hAnsi="Arial" w:cs="Arial"/>
                <w:sz w:val="20"/>
                <w:szCs w:val="20"/>
              </w:rPr>
              <w:t>Project implementation with strategic support rather than ad hoc</w:t>
            </w:r>
            <w:r w:rsidRPr="1C8BC47B" w:rsidR="28C6AE90">
              <w:rPr>
                <w:rFonts w:ascii="Arial" w:hAnsi="Arial" w:cs="Arial"/>
                <w:sz w:val="20"/>
                <w:szCs w:val="20"/>
              </w:rPr>
              <w:t xml:space="preserve"> change</w:t>
            </w:r>
            <w:r w:rsidRPr="1C8BC47B" w:rsidR="7B48B2A6">
              <w:rPr>
                <w:rFonts w:ascii="Arial" w:hAnsi="Arial" w:cs="Arial"/>
                <w:sz w:val="20"/>
                <w:szCs w:val="20"/>
              </w:rPr>
              <w:t>.</w:t>
            </w:r>
          </w:p>
        </w:tc>
      </w:tr>
      <w:tr w:rsidRPr="005A2497" w:rsidR="00531020" w:rsidTr="58B673BF" w14:paraId="727669BE" w14:textId="77777777">
        <w:tc>
          <w:tcPr>
            <w:tcW w:w="703" w:type="dxa"/>
          </w:tcPr>
          <w:p w:rsidRPr="005A2497" w:rsidR="00531020" w:rsidP="00843326" w:rsidRDefault="00531020" w14:paraId="54022B96" w14:textId="77777777">
            <w:pPr>
              <w:pStyle w:val="NoSpacing"/>
              <w:rPr>
                <w:rFonts w:ascii="Arial" w:hAnsi="Arial" w:cs="Arial"/>
                <w:sz w:val="20"/>
                <w:szCs w:val="20"/>
              </w:rPr>
            </w:pPr>
            <w:r w:rsidRPr="005A2497">
              <w:rPr>
                <w:rFonts w:ascii="Arial" w:hAnsi="Arial" w:cs="Arial"/>
                <w:sz w:val="20"/>
                <w:szCs w:val="20"/>
              </w:rPr>
              <w:t>2</w:t>
            </w:r>
          </w:p>
        </w:tc>
        <w:tc>
          <w:tcPr>
            <w:tcW w:w="2299" w:type="dxa"/>
          </w:tcPr>
          <w:p w:rsidRPr="005A2497" w:rsidR="00531020" w:rsidP="00843326" w:rsidRDefault="32407610" w14:paraId="724EFAD2" w14:textId="2636B2E0">
            <w:pPr>
              <w:pStyle w:val="NoSpacing"/>
              <w:rPr>
                <w:rFonts w:ascii="Arial" w:hAnsi="Arial" w:cs="Arial"/>
                <w:sz w:val="20"/>
                <w:szCs w:val="20"/>
              </w:rPr>
            </w:pPr>
            <w:r w:rsidRPr="58B673BF">
              <w:rPr>
                <w:rFonts w:ascii="Arial" w:hAnsi="Arial" w:cs="Arial"/>
                <w:sz w:val="20"/>
                <w:szCs w:val="20"/>
              </w:rPr>
              <w:t>Procurement</w:t>
            </w:r>
            <w:r w:rsidRPr="58B673BF" w:rsidR="73D43AE4">
              <w:rPr>
                <w:rFonts w:ascii="Arial" w:hAnsi="Arial" w:cs="Arial"/>
                <w:sz w:val="20"/>
                <w:szCs w:val="20"/>
              </w:rPr>
              <w:t xml:space="preserve"> Team</w:t>
            </w:r>
            <w:r w:rsidRPr="58B673BF">
              <w:rPr>
                <w:rFonts w:ascii="Arial" w:hAnsi="Arial" w:cs="Arial"/>
                <w:sz w:val="20"/>
                <w:szCs w:val="20"/>
              </w:rPr>
              <w:t xml:space="preserve"> resourcing</w:t>
            </w:r>
            <w:r w:rsidRPr="58B673BF" w:rsidR="48B62936">
              <w:rPr>
                <w:rFonts w:ascii="Arial" w:hAnsi="Arial" w:cs="Arial"/>
                <w:sz w:val="20"/>
                <w:szCs w:val="20"/>
              </w:rPr>
              <w:t>.</w:t>
            </w:r>
          </w:p>
        </w:tc>
        <w:tc>
          <w:tcPr>
            <w:tcW w:w="1246" w:type="dxa"/>
            <w:vAlign w:val="center"/>
          </w:tcPr>
          <w:p w:rsidRPr="005A2497" w:rsidR="00531020" w:rsidP="00843326" w:rsidRDefault="3EB68AD0" w14:paraId="5AF9489E" w14:textId="701B8706">
            <w:pPr>
              <w:pStyle w:val="NoSpacing"/>
              <w:rPr>
                <w:rFonts w:ascii="Arial" w:hAnsi="Arial" w:cs="Arial"/>
                <w:sz w:val="20"/>
                <w:szCs w:val="20"/>
              </w:rPr>
            </w:pPr>
            <w:r w:rsidRPr="527BC9F2">
              <w:rPr>
                <w:rFonts w:ascii="Arial" w:hAnsi="Arial" w:cs="Arial"/>
                <w:sz w:val="20"/>
                <w:szCs w:val="20"/>
              </w:rPr>
              <w:t>4</w:t>
            </w:r>
          </w:p>
        </w:tc>
        <w:tc>
          <w:tcPr>
            <w:tcW w:w="1276" w:type="dxa"/>
            <w:vAlign w:val="center"/>
          </w:tcPr>
          <w:p w:rsidRPr="005A2497" w:rsidR="00531020" w:rsidP="00843326" w:rsidRDefault="3EB68AD0" w14:paraId="2863B8D4" w14:textId="28484C42">
            <w:pPr>
              <w:pStyle w:val="NoSpacing"/>
              <w:rPr>
                <w:rFonts w:ascii="Arial" w:hAnsi="Arial" w:cs="Arial"/>
                <w:sz w:val="20"/>
                <w:szCs w:val="20"/>
              </w:rPr>
            </w:pPr>
            <w:r w:rsidRPr="527BC9F2">
              <w:rPr>
                <w:rFonts w:ascii="Arial" w:hAnsi="Arial" w:cs="Arial"/>
                <w:sz w:val="20"/>
                <w:szCs w:val="20"/>
              </w:rPr>
              <w:t>4</w:t>
            </w:r>
          </w:p>
        </w:tc>
        <w:tc>
          <w:tcPr>
            <w:tcW w:w="1275" w:type="dxa"/>
            <w:vAlign w:val="center"/>
          </w:tcPr>
          <w:p w:rsidRPr="005A2497" w:rsidR="00531020" w:rsidP="00843326" w:rsidRDefault="3EB68AD0" w14:paraId="14B67848" w14:textId="07D39E2B">
            <w:pPr>
              <w:pStyle w:val="NoSpacing"/>
              <w:rPr>
                <w:rFonts w:ascii="Arial" w:hAnsi="Arial" w:cs="Arial"/>
                <w:sz w:val="20"/>
                <w:szCs w:val="20"/>
              </w:rPr>
            </w:pPr>
            <w:r w:rsidRPr="527BC9F2">
              <w:rPr>
                <w:rFonts w:ascii="Arial" w:hAnsi="Arial" w:cs="Arial"/>
                <w:sz w:val="20"/>
                <w:szCs w:val="20"/>
              </w:rPr>
              <w:t>16</w:t>
            </w:r>
          </w:p>
        </w:tc>
        <w:tc>
          <w:tcPr>
            <w:tcW w:w="2217" w:type="dxa"/>
          </w:tcPr>
          <w:p w:rsidRPr="005A2497" w:rsidR="00531020" w:rsidP="00843326" w:rsidRDefault="3F5D5A7F" w14:paraId="37311EC6" w14:textId="083343B3">
            <w:pPr>
              <w:pStyle w:val="NoSpacing"/>
              <w:rPr>
                <w:rFonts w:ascii="Arial" w:hAnsi="Arial" w:cs="Arial"/>
                <w:sz w:val="20"/>
                <w:szCs w:val="20"/>
              </w:rPr>
            </w:pPr>
            <w:r w:rsidRPr="1C8BC47B">
              <w:rPr>
                <w:rFonts w:ascii="Arial" w:hAnsi="Arial" w:cs="Arial"/>
                <w:sz w:val="20"/>
                <w:szCs w:val="20"/>
              </w:rPr>
              <w:t>Fill vacant posts</w:t>
            </w:r>
            <w:r w:rsidRPr="1C8BC47B" w:rsidR="35F3F809">
              <w:rPr>
                <w:rFonts w:ascii="Arial" w:hAnsi="Arial" w:cs="Arial"/>
                <w:sz w:val="20"/>
                <w:szCs w:val="20"/>
              </w:rPr>
              <w:t>.</w:t>
            </w:r>
          </w:p>
        </w:tc>
      </w:tr>
      <w:tr w:rsidRPr="005A2497" w:rsidR="00531020" w:rsidTr="58B673BF" w14:paraId="1627D5A0" w14:textId="77777777">
        <w:tc>
          <w:tcPr>
            <w:tcW w:w="703" w:type="dxa"/>
          </w:tcPr>
          <w:p w:rsidRPr="005A2497" w:rsidR="00531020" w:rsidP="00843326" w:rsidRDefault="00531020" w14:paraId="43C399BB" w14:textId="77777777">
            <w:pPr>
              <w:pStyle w:val="NoSpacing"/>
              <w:rPr>
                <w:rFonts w:ascii="Arial" w:hAnsi="Arial" w:cs="Arial"/>
                <w:sz w:val="20"/>
                <w:szCs w:val="20"/>
              </w:rPr>
            </w:pPr>
            <w:r w:rsidRPr="005A2497">
              <w:rPr>
                <w:rFonts w:ascii="Arial" w:hAnsi="Arial" w:cs="Arial"/>
                <w:sz w:val="20"/>
                <w:szCs w:val="20"/>
              </w:rPr>
              <w:t>3</w:t>
            </w:r>
          </w:p>
        </w:tc>
        <w:tc>
          <w:tcPr>
            <w:tcW w:w="2299" w:type="dxa"/>
          </w:tcPr>
          <w:p w:rsidRPr="005A2497" w:rsidR="00531020" w:rsidP="00843326" w:rsidRDefault="7ABB852F" w14:paraId="41ED7094" w14:textId="267A4F9C">
            <w:pPr>
              <w:pStyle w:val="NoSpacing"/>
              <w:rPr>
                <w:rFonts w:ascii="Arial" w:hAnsi="Arial" w:cs="Arial"/>
                <w:sz w:val="20"/>
                <w:szCs w:val="20"/>
              </w:rPr>
            </w:pPr>
            <w:r w:rsidRPr="58B673BF">
              <w:rPr>
                <w:rFonts w:ascii="Arial" w:hAnsi="Arial" w:cs="Arial"/>
                <w:sz w:val="20"/>
                <w:szCs w:val="20"/>
              </w:rPr>
              <w:t>Contract Managers not supportive of savings requirements</w:t>
            </w:r>
            <w:r w:rsidRPr="58B673BF" w:rsidR="69BC2AE4">
              <w:rPr>
                <w:rFonts w:ascii="Arial" w:hAnsi="Arial" w:cs="Arial"/>
                <w:sz w:val="20"/>
                <w:szCs w:val="20"/>
              </w:rPr>
              <w:t>.</w:t>
            </w:r>
          </w:p>
        </w:tc>
        <w:tc>
          <w:tcPr>
            <w:tcW w:w="1246" w:type="dxa"/>
            <w:vAlign w:val="center"/>
          </w:tcPr>
          <w:p w:rsidRPr="005A2497" w:rsidR="00531020" w:rsidP="00843326" w:rsidRDefault="69B4FD39" w14:paraId="4D04A8D8" w14:textId="673C7F8B">
            <w:pPr>
              <w:pStyle w:val="NoSpacing"/>
              <w:rPr>
                <w:rFonts w:ascii="Arial" w:hAnsi="Arial" w:cs="Arial"/>
                <w:sz w:val="20"/>
                <w:szCs w:val="20"/>
              </w:rPr>
            </w:pPr>
            <w:r w:rsidRPr="1C8BC47B">
              <w:rPr>
                <w:rFonts w:ascii="Arial" w:hAnsi="Arial" w:cs="Arial"/>
                <w:sz w:val="20"/>
                <w:szCs w:val="20"/>
              </w:rPr>
              <w:t>3</w:t>
            </w:r>
          </w:p>
        </w:tc>
        <w:tc>
          <w:tcPr>
            <w:tcW w:w="1276" w:type="dxa"/>
            <w:vAlign w:val="center"/>
          </w:tcPr>
          <w:p w:rsidRPr="005A2497" w:rsidR="00531020" w:rsidP="00843326" w:rsidRDefault="69B4FD39" w14:paraId="46CE4075" w14:textId="7F11B43C">
            <w:pPr>
              <w:pStyle w:val="NoSpacing"/>
              <w:rPr>
                <w:rFonts w:ascii="Arial" w:hAnsi="Arial" w:cs="Arial"/>
                <w:sz w:val="20"/>
                <w:szCs w:val="20"/>
              </w:rPr>
            </w:pPr>
            <w:r w:rsidRPr="1C8BC47B">
              <w:rPr>
                <w:rFonts w:ascii="Arial" w:hAnsi="Arial" w:cs="Arial"/>
                <w:sz w:val="20"/>
                <w:szCs w:val="20"/>
              </w:rPr>
              <w:t>5</w:t>
            </w:r>
          </w:p>
        </w:tc>
        <w:tc>
          <w:tcPr>
            <w:tcW w:w="1275" w:type="dxa"/>
            <w:vAlign w:val="center"/>
          </w:tcPr>
          <w:p w:rsidRPr="005A2497" w:rsidR="00531020" w:rsidP="00843326" w:rsidRDefault="69B4FD39" w14:paraId="718BA81C" w14:textId="105C05B3">
            <w:pPr>
              <w:pStyle w:val="NoSpacing"/>
              <w:rPr>
                <w:rFonts w:ascii="Arial" w:hAnsi="Arial" w:cs="Arial"/>
                <w:sz w:val="20"/>
                <w:szCs w:val="20"/>
              </w:rPr>
            </w:pPr>
            <w:r w:rsidRPr="1C8BC47B">
              <w:rPr>
                <w:rFonts w:ascii="Arial" w:hAnsi="Arial" w:cs="Arial"/>
                <w:sz w:val="20"/>
                <w:szCs w:val="20"/>
              </w:rPr>
              <w:t>15</w:t>
            </w:r>
          </w:p>
        </w:tc>
        <w:tc>
          <w:tcPr>
            <w:tcW w:w="2217" w:type="dxa"/>
          </w:tcPr>
          <w:p w:rsidRPr="005A2497" w:rsidR="00531020" w:rsidP="00843326" w:rsidRDefault="41F0203D" w14:paraId="15BD31AF" w14:textId="585CEA7E">
            <w:pPr>
              <w:pStyle w:val="NoSpacing"/>
              <w:rPr>
                <w:rFonts w:ascii="Arial" w:hAnsi="Arial" w:cs="Arial"/>
                <w:sz w:val="20"/>
                <w:szCs w:val="20"/>
              </w:rPr>
            </w:pPr>
            <w:r w:rsidRPr="6B117EB3">
              <w:rPr>
                <w:rFonts w:ascii="Arial" w:hAnsi="Arial" w:cs="Arial"/>
                <w:sz w:val="20"/>
                <w:szCs w:val="20"/>
              </w:rPr>
              <w:t>Strong leadership with targets assigned to each contract manager</w:t>
            </w:r>
            <w:r w:rsidRPr="6B117EB3" w:rsidR="39DD749D">
              <w:rPr>
                <w:rFonts w:ascii="Arial" w:hAnsi="Arial" w:cs="Arial"/>
                <w:sz w:val="20"/>
                <w:szCs w:val="20"/>
              </w:rPr>
              <w:t>.</w:t>
            </w:r>
          </w:p>
        </w:tc>
      </w:tr>
    </w:tbl>
    <w:p w:rsidRPr="005A2497" w:rsidR="00531020" w:rsidP="00843326" w:rsidRDefault="00531020" w14:paraId="1454DC56" w14:textId="77777777">
      <w:pPr>
        <w:pStyle w:val="NoSpacing"/>
        <w:rPr>
          <w:rFonts w:ascii="Arial" w:hAnsi="Arial" w:cs="Arial"/>
          <w:sz w:val="20"/>
          <w:szCs w:val="20"/>
        </w:rPr>
      </w:pPr>
    </w:p>
    <w:p w:rsidRPr="00035CB3" w:rsidR="00EE5F00" w:rsidP="00035CB3" w:rsidRDefault="00EE5F00" w14:paraId="19D6DC78" w14:textId="77777777">
      <w:pPr>
        <w:pStyle w:val="NoSpacing"/>
        <w:shd w:val="clear" w:color="auto" w:fill="7030A0"/>
        <w:rPr>
          <w:rFonts w:ascii="Arial" w:hAnsi="Arial" w:cs="Arial"/>
          <w:b/>
          <w:bCs/>
          <w:color w:val="FFFFFF" w:themeColor="background1"/>
          <w:sz w:val="20"/>
          <w:szCs w:val="20"/>
        </w:rPr>
      </w:pPr>
      <w:r w:rsidRPr="3862397F">
        <w:rPr>
          <w:rFonts w:ascii="Arial" w:hAnsi="Arial" w:cs="Arial"/>
          <w:b/>
          <w:bCs/>
          <w:color w:val="FFFFFF" w:themeColor="background1"/>
          <w:sz w:val="20"/>
          <w:szCs w:val="20"/>
        </w:rPr>
        <w:t>Critical dependencies, constraints, assumptions</w:t>
      </w:r>
    </w:p>
    <w:p w:rsidR="018F2735" w:rsidP="6CE76D7F" w:rsidRDefault="5A146F75" w14:paraId="0D42C700" w14:textId="6B5A2E3B">
      <w:pPr>
        <w:pStyle w:val="NoSpacing"/>
        <w:numPr>
          <w:ilvl w:val="0"/>
          <w:numId w:val="9"/>
        </w:numPr>
        <w:rPr>
          <w:rFonts w:ascii="Arial" w:hAnsi="Arial" w:cs="Arial"/>
          <w:sz w:val="20"/>
          <w:szCs w:val="20"/>
        </w:rPr>
      </w:pPr>
      <w:r w:rsidRPr="7C5218E2" w:rsidR="5A146F75">
        <w:rPr>
          <w:rFonts w:ascii="Arial" w:hAnsi="Arial" w:cs="Arial"/>
          <w:sz w:val="20"/>
          <w:szCs w:val="20"/>
        </w:rPr>
        <w:t>Resources are low in Procurement to implement change</w:t>
      </w:r>
      <w:r w:rsidRPr="7C5218E2" w:rsidR="186FE807">
        <w:rPr>
          <w:rFonts w:ascii="Arial" w:hAnsi="Arial" w:cs="Arial"/>
          <w:sz w:val="20"/>
          <w:szCs w:val="20"/>
        </w:rPr>
        <w:t xml:space="preserve"> as one BP has left, the other has been seconded to ASC</w:t>
      </w:r>
      <w:r w:rsidRPr="7C5218E2" w:rsidR="27FDEACC">
        <w:rPr>
          <w:rFonts w:ascii="Arial" w:hAnsi="Arial" w:cs="Arial"/>
          <w:sz w:val="20"/>
          <w:szCs w:val="20"/>
        </w:rPr>
        <w:t>.</w:t>
      </w:r>
    </w:p>
    <w:p w:rsidR="71E49B66" w:rsidP="71E49B66" w:rsidRDefault="71E49B66" w14:paraId="1580F2C3" w14:noSpellErr="1" w14:textId="7CACF86E">
      <w:pPr>
        <w:pStyle w:val="NoSpacing"/>
        <w:rPr>
          <w:rFonts w:ascii="Arial" w:hAnsi="Arial" w:cs="Arial"/>
          <w:sz w:val="20"/>
          <w:szCs w:val="20"/>
        </w:rPr>
      </w:pPr>
    </w:p>
    <w:p w:rsidRPr="005A2497" w:rsidR="00EE5F00" w:rsidP="00843326" w:rsidRDefault="00EE5F00" w14:paraId="25D8EFD5" w14:textId="77777777">
      <w:pPr>
        <w:pStyle w:val="NoSpacing"/>
        <w:rPr>
          <w:rFonts w:ascii="Arial" w:hAnsi="Arial" w:cs="Arial"/>
          <w:sz w:val="20"/>
          <w:szCs w:val="20"/>
        </w:rPr>
      </w:pPr>
    </w:p>
    <w:p w:rsidRPr="00035CB3" w:rsidR="004A1720" w:rsidP="00035CB3" w:rsidRDefault="004A1720" w14:paraId="2BFBC9EF" w14:textId="77777777">
      <w:pPr>
        <w:pStyle w:val="NoSpacing"/>
        <w:shd w:val="clear" w:color="auto" w:fill="7030A0"/>
        <w:rPr>
          <w:rFonts w:ascii="Arial" w:hAnsi="Arial" w:cs="Arial"/>
          <w:b/>
          <w:bCs/>
          <w:color w:val="FFFFFF" w:themeColor="background1"/>
          <w:sz w:val="20"/>
          <w:szCs w:val="20"/>
        </w:rPr>
      </w:pPr>
      <w:r w:rsidRPr="00035CB3">
        <w:rPr>
          <w:rFonts w:ascii="Arial" w:hAnsi="Arial" w:cs="Arial"/>
          <w:b/>
          <w:bCs/>
          <w:color w:val="FFFFFF" w:themeColor="background1"/>
          <w:sz w:val="20"/>
          <w:szCs w:val="20"/>
        </w:rPr>
        <w:t>Timetable – Key Activities and Milestones</w:t>
      </w:r>
    </w:p>
    <w:p w:rsidRPr="005A2497" w:rsidR="00BB0769" w:rsidP="00843326" w:rsidRDefault="00BB0769" w14:paraId="16823150" w14:textId="77777777">
      <w:pPr>
        <w:pStyle w:val="NoSpacing"/>
        <w:rPr>
          <w:rFonts w:ascii="Arial" w:hAnsi="Arial" w:cs="Arial"/>
          <w:sz w:val="20"/>
          <w:szCs w:val="20"/>
        </w:rPr>
      </w:pPr>
    </w:p>
    <w:tbl>
      <w:tblPr>
        <w:tblStyle w:val="TableGrid"/>
        <w:tblW w:w="7270" w:type="dxa"/>
        <w:tblLook w:val="04A0" w:firstRow="1" w:lastRow="0" w:firstColumn="1" w:lastColumn="0" w:noHBand="0" w:noVBand="1"/>
      </w:tblPr>
      <w:tblGrid>
        <w:gridCol w:w="5709"/>
        <w:gridCol w:w="1561"/>
      </w:tblGrid>
      <w:tr w:rsidRPr="005A2497" w:rsidR="00226C0C" w:rsidTr="0A0C0012" w14:paraId="05CA3A73" w14:textId="77777777">
        <w:trPr>
          <w:trHeight w:val="236"/>
        </w:trPr>
        <w:tc>
          <w:tcPr>
            <w:tcW w:w="5709" w:type="dxa"/>
            <w:shd w:val="clear" w:color="auto" w:fill="66B0AB"/>
          </w:tcPr>
          <w:p w:rsidRPr="005A2497" w:rsidR="00226C0C" w:rsidP="00035CB3" w:rsidRDefault="00226C0C" w14:paraId="6EA144F5" w14:textId="77777777">
            <w:pPr>
              <w:rPr>
                <w:rFonts w:ascii="Arial" w:hAnsi="Arial" w:cs="Arial"/>
                <w:b/>
                <w:bCs/>
                <w:sz w:val="20"/>
                <w:szCs w:val="20"/>
              </w:rPr>
            </w:pPr>
            <w:r w:rsidRPr="005A2497">
              <w:rPr>
                <w:rFonts w:ascii="Arial" w:hAnsi="Arial" w:cs="Arial"/>
                <w:b/>
                <w:bCs/>
                <w:sz w:val="20"/>
                <w:szCs w:val="20"/>
              </w:rPr>
              <w:t>Stage / Gate target milestones</w:t>
            </w:r>
          </w:p>
        </w:tc>
        <w:tc>
          <w:tcPr>
            <w:tcW w:w="1561" w:type="dxa"/>
            <w:shd w:val="clear" w:color="auto" w:fill="66B0AB"/>
          </w:tcPr>
          <w:p w:rsidRPr="005A2497" w:rsidR="00226C0C" w:rsidP="00035CB3" w:rsidRDefault="0097559A" w14:paraId="3BDF6FA1" w14:textId="35686B7E">
            <w:pPr>
              <w:rPr>
                <w:rFonts w:ascii="Arial" w:hAnsi="Arial" w:cs="Arial"/>
                <w:b/>
                <w:bCs/>
                <w:sz w:val="20"/>
                <w:szCs w:val="20"/>
              </w:rPr>
            </w:pPr>
            <w:r w:rsidRPr="005A2497">
              <w:rPr>
                <w:rFonts w:ascii="Arial" w:hAnsi="Arial" w:cs="Arial"/>
                <w:b/>
                <w:bCs/>
                <w:sz w:val="20"/>
                <w:szCs w:val="20"/>
              </w:rPr>
              <w:t>(</w:t>
            </w:r>
            <w:r w:rsidRPr="005A2497" w:rsidR="00226C0C">
              <w:rPr>
                <w:rFonts w:ascii="Arial" w:hAnsi="Arial" w:cs="Arial"/>
                <w:b/>
                <w:bCs/>
                <w:sz w:val="20"/>
                <w:szCs w:val="20"/>
              </w:rPr>
              <w:t>Target</w:t>
            </w:r>
            <w:r w:rsidRPr="005A2497">
              <w:rPr>
                <w:rFonts w:ascii="Arial" w:hAnsi="Arial" w:cs="Arial"/>
                <w:b/>
                <w:bCs/>
                <w:sz w:val="20"/>
                <w:szCs w:val="20"/>
              </w:rPr>
              <w:t>)</w:t>
            </w:r>
            <w:r w:rsidRPr="005A2497" w:rsidR="00226C0C">
              <w:rPr>
                <w:rFonts w:ascii="Arial" w:hAnsi="Arial" w:cs="Arial"/>
                <w:b/>
                <w:bCs/>
                <w:sz w:val="20"/>
                <w:szCs w:val="20"/>
              </w:rPr>
              <w:t xml:space="preserve"> Date</w:t>
            </w:r>
          </w:p>
        </w:tc>
      </w:tr>
      <w:tr w:rsidRPr="005A2497" w:rsidR="00226C0C" w:rsidTr="0A0C0012" w14:paraId="0FA28E79" w14:textId="77777777">
        <w:trPr>
          <w:trHeight w:val="236"/>
        </w:trPr>
        <w:tc>
          <w:tcPr>
            <w:tcW w:w="5709" w:type="dxa"/>
            <w:vAlign w:val="bottom"/>
          </w:tcPr>
          <w:p w:rsidRPr="005A2497" w:rsidR="00226C0C" w:rsidP="00035CB3" w:rsidRDefault="00226C0C" w14:paraId="6DC63B49" w14:textId="77777777">
            <w:pPr>
              <w:rPr>
                <w:rFonts w:ascii="Arial" w:hAnsi="Arial" w:cs="Arial"/>
                <w:sz w:val="20"/>
                <w:szCs w:val="20"/>
              </w:rPr>
            </w:pPr>
            <w:r w:rsidRPr="005A2497">
              <w:rPr>
                <w:rFonts w:ascii="Arial" w:hAnsi="Arial" w:cs="Arial"/>
                <w:sz w:val="20"/>
                <w:szCs w:val="20"/>
              </w:rPr>
              <w:t>Gate 0: Decision: Progress Opportunity</w:t>
            </w:r>
          </w:p>
        </w:tc>
        <w:tc>
          <w:tcPr>
            <w:tcW w:w="1561" w:type="dxa"/>
          </w:tcPr>
          <w:p w:rsidRPr="005A2497" w:rsidR="00226C0C" w:rsidP="00035CB3" w:rsidRDefault="6FBE1D33" w14:paraId="68DD5F6C" w14:textId="200EA15C">
            <w:pPr>
              <w:rPr>
                <w:rFonts w:ascii="Arial" w:hAnsi="Arial" w:cs="Arial"/>
                <w:sz w:val="20"/>
                <w:szCs w:val="20"/>
              </w:rPr>
            </w:pPr>
            <w:r w:rsidRPr="0A0C0012">
              <w:rPr>
                <w:rFonts w:ascii="Arial" w:hAnsi="Arial" w:cs="Arial"/>
                <w:sz w:val="20"/>
                <w:szCs w:val="20"/>
              </w:rPr>
              <w:t>Jul</w:t>
            </w:r>
            <w:r w:rsidRPr="0A0C0012" w:rsidR="0103121C">
              <w:rPr>
                <w:rFonts w:ascii="Arial" w:hAnsi="Arial" w:cs="Arial"/>
                <w:sz w:val="20"/>
                <w:szCs w:val="20"/>
              </w:rPr>
              <w:t xml:space="preserve"> 2023</w:t>
            </w:r>
          </w:p>
        </w:tc>
      </w:tr>
      <w:tr w:rsidRPr="005A2497" w:rsidR="00226C0C" w:rsidTr="0A0C0012" w14:paraId="10F92B32" w14:textId="77777777">
        <w:trPr>
          <w:trHeight w:val="236"/>
        </w:trPr>
        <w:tc>
          <w:tcPr>
            <w:tcW w:w="5709" w:type="dxa"/>
            <w:vAlign w:val="bottom"/>
          </w:tcPr>
          <w:p w:rsidRPr="005A2497" w:rsidR="00226C0C" w:rsidP="00035CB3" w:rsidRDefault="00226C0C" w14:paraId="725F3B04" w14:textId="77777777">
            <w:pPr>
              <w:rPr>
                <w:rFonts w:ascii="Arial" w:hAnsi="Arial" w:cs="Arial"/>
                <w:sz w:val="20"/>
                <w:szCs w:val="20"/>
              </w:rPr>
            </w:pPr>
            <w:r w:rsidRPr="005A2497">
              <w:rPr>
                <w:rFonts w:ascii="Arial" w:hAnsi="Arial" w:cs="Arial"/>
                <w:sz w:val="20"/>
                <w:szCs w:val="20"/>
              </w:rPr>
              <w:t>Gate 1: Decision: Outline Business Case</w:t>
            </w:r>
          </w:p>
        </w:tc>
        <w:tc>
          <w:tcPr>
            <w:tcW w:w="1561" w:type="dxa"/>
          </w:tcPr>
          <w:p w:rsidRPr="005A2497" w:rsidR="00226C0C" w:rsidP="00035CB3" w:rsidRDefault="75E3950C" w14:paraId="4A67F39A" w14:textId="08544B2B">
            <w:pPr>
              <w:rPr>
                <w:rFonts w:ascii="Arial" w:hAnsi="Arial" w:cs="Arial"/>
                <w:sz w:val="20"/>
                <w:szCs w:val="20"/>
              </w:rPr>
            </w:pPr>
            <w:r w:rsidRPr="0A0C0012">
              <w:rPr>
                <w:rFonts w:ascii="Arial" w:hAnsi="Arial" w:cs="Arial"/>
                <w:sz w:val="20"/>
                <w:szCs w:val="20"/>
              </w:rPr>
              <w:t>Oct 2023</w:t>
            </w:r>
          </w:p>
        </w:tc>
      </w:tr>
      <w:tr w:rsidRPr="005A2497" w:rsidR="0097559A" w:rsidTr="0A0C0012" w14:paraId="23CB3193" w14:textId="77777777">
        <w:trPr>
          <w:trHeight w:val="236"/>
        </w:trPr>
        <w:tc>
          <w:tcPr>
            <w:tcW w:w="5709" w:type="dxa"/>
            <w:vAlign w:val="bottom"/>
          </w:tcPr>
          <w:p w:rsidRPr="005A2497" w:rsidR="0097559A" w:rsidP="0097559A" w:rsidRDefault="0097559A" w14:paraId="41FAE53F" w14:textId="3C3EC826">
            <w:pPr>
              <w:rPr>
                <w:rFonts w:ascii="Arial" w:hAnsi="Arial" w:cs="Arial"/>
                <w:sz w:val="20"/>
                <w:szCs w:val="20"/>
              </w:rPr>
            </w:pPr>
            <w:r w:rsidRPr="005A2497">
              <w:rPr>
                <w:rFonts w:ascii="Arial" w:hAnsi="Arial" w:cs="Arial"/>
                <w:sz w:val="20"/>
                <w:szCs w:val="20"/>
              </w:rPr>
              <w:t>Gate 2: Decision: Full Business Case</w:t>
            </w:r>
          </w:p>
        </w:tc>
        <w:tc>
          <w:tcPr>
            <w:tcW w:w="1561" w:type="dxa"/>
          </w:tcPr>
          <w:p w:rsidRPr="005A2497" w:rsidR="0097559A" w:rsidP="0097559A" w:rsidRDefault="4DC28252" w14:paraId="513971AF" w14:textId="2411FC4F">
            <w:pPr>
              <w:rPr>
                <w:rFonts w:ascii="Arial" w:hAnsi="Arial" w:cs="Arial"/>
                <w:sz w:val="20"/>
                <w:szCs w:val="20"/>
              </w:rPr>
            </w:pPr>
            <w:r w:rsidRPr="0A0C0012">
              <w:rPr>
                <w:rFonts w:ascii="Arial" w:hAnsi="Arial" w:cs="Arial"/>
                <w:sz w:val="20"/>
                <w:szCs w:val="20"/>
              </w:rPr>
              <w:t>Apr 202</w:t>
            </w:r>
            <w:r w:rsidRPr="0A0C0012" w:rsidR="367E9A80">
              <w:rPr>
                <w:rFonts w:ascii="Arial" w:hAnsi="Arial" w:cs="Arial"/>
                <w:sz w:val="20"/>
                <w:szCs w:val="20"/>
              </w:rPr>
              <w:t>4</w:t>
            </w:r>
          </w:p>
        </w:tc>
      </w:tr>
      <w:tr w:rsidRPr="005A2497" w:rsidR="0097559A" w:rsidTr="0A0C0012" w14:paraId="5D196C1A" w14:textId="77777777">
        <w:trPr>
          <w:trHeight w:val="236"/>
        </w:trPr>
        <w:tc>
          <w:tcPr>
            <w:tcW w:w="5709" w:type="dxa"/>
            <w:vAlign w:val="bottom"/>
          </w:tcPr>
          <w:p w:rsidRPr="005A2497" w:rsidR="0097559A" w:rsidP="0097559A" w:rsidRDefault="0097559A" w14:paraId="45399690" w14:textId="407B1F73">
            <w:pPr>
              <w:rPr>
                <w:rFonts w:ascii="Arial" w:hAnsi="Arial" w:cs="Arial"/>
                <w:sz w:val="20"/>
                <w:szCs w:val="20"/>
              </w:rPr>
            </w:pPr>
            <w:r w:rsidRPr="005A2497">
              <w:rPr>
                <w:rFonts w:ascii="Arial" w:hAnsi="Arial" w:cs="Arial"/>
                <w:sz w:val="20"/>
                <w:szCs w:val="20"/>
              </w:rPr>
              <w:t>Gate 3: Decision: Investment Decision</w:t>
            </w:r>
          </w:p>
        </w:tc>
        <w:tc>
          <w:tcPr>
            <w:tcW w:w="1561" w:type="dxa"/>
          </w:tcPr>
          <w:p w:rsidRPr="005A2497" w:rsidR="0097559A" w:rsidP="0097559A" w:rsidRDefault="0D98CF51" w14:paraId="4D51FB10" w14:textId="52BE4E35">
            <w:pPr>
              <w:rPr>
                <w:rFonts w:ascii="Arial" w:hAnsi="Arial" w:cs="Arial"/>
                <w:sz w:val="20"/>
                <w:szCs w:val="20"/>
              </w:rPr>
            </w:pPr>
            <w:r w:rsidRPr="0A0C0012">
              <w:rPr>
                <w:rFonts w:ascii="Arial" w:hAnsi="Arial" w:cs="Arial"/>
                <w:sz w:val="20"/>
                <w:szCs w:val="20"/>
              </w:rPr>
              <w:t>Apr 2024</w:t>
            </w:r>
          </w:p>
        </w:tc>
      </w:tr>
      <w:tr w:rsidRPr="005A2497" w:rsidR="0097559A" w:rsidTr="0A0C0012" w14:paraId="1DA135F8" w14:textId="77777777">
        <w:trPr>
          <w:trHeight w:val="236"/>
        </w:trPr>
        <w:tc>
          <w:tcPr>
            <w:tcW w:w="5709" w:type="dxa"/>
            <w:vAlign w:val="bottom"/>
          </w:tcPr>
          <w:p w:rsidRPr="005A2497" w:rsidR="0097559A" w:rsidP="0097559A" w:rsidRDefault="0097559A" w14:paraId="335512BD" w14:textId="0DE0725A">
            <w:pPr>
              <w:rPr>
                <w:rFonts w:ascii="Arial" w:hAnsi="Arial" w:cs="Arial"/>
                <w:sz w:val="20"/>
                <w:szCs w:val="20"/>
              </w:rPr>
            </w:pPr>
            <w:r w:rsidRPr="005A2497">
              <w:rPr>
                <w:rFonts w:ascii="Arial" w:hAnsi="Arial" w:cs="Arial"/>
                <w:sz w:val="20"/>
                <w:szCs w:val="20"/>
              </w:rPr>
              <w:t>Gate 4: Decision: Go-Live / Handover to BAU</w:t>
            </w:r>
          </w:p>
        </w:tc>
        <w:tc>
          <w:tcPr>
            <w:tcW w:w="1561" w:type="dxa"/>
          </w:tcPr>
          <w:p w:rsidRPr="005A2497" w:rsidR="0097559A" w:rsidP="0097559A" w:rsidRDefault="185AC3A6" w14:paraId="61BCA8B6" w14:textId="6768B715">
            <w:pPr>
              <w:rPr>
                <w:rFonts w:ascii="Arial" w:hAnsi="Arial" w:cs="Arial"/>
                <w:sz w:val="20"/>
                <w:szCs w:val="20"/>
              </w:rPr>
            </w:pPr>
            <w:r w:rsidRPr="0A0C0012">
              <w:rPr>
                <w:rFonts w:ascii="Arial" w:hAnsi="Arial" w:cs="Arial"/>
                <w:sz w:val="20"/>
                <w:szCs w:val="20"/>
              </w:rPr>
              <w:t>Mar 2025</w:t>
            </w:r>
          </w:p>
        </w:tc>
      </w:tr>
      <w:tr w:rsidRPr="005A2497" w:rsidR="0097559A" w:rsidTr="0A0C0012" w14:paraId="2538014E" w14:textId="77777777">
        <w:trPr>
          <w:trHeight w:val="236"/>
        </w:trPr>
        <w:tc>
          <w:tcPr>
            <w:tcW w:w="5709" w:type="dxa"/>
            <w:vAlign w:val="bottom"/>
          </w:tcPr>
          <w:p w:rsidRPr="005A2497" w:rsidR="0097559A" w:rsidP="0097559A" w:rsidRDefault="0097559A" w14:paraId="4CA03B7E" w14:textId="3A21CEDD">
            <w:pPr>
              <w:rPr>
                <w:rFonts w:ascii="Arial" w:hAnsi="Arial" w:cs="Arial"/>
                <w:b/>
                <w:bCs/>
                <w:sz w:val="20"/>
                <w:szCs w:val="20"/>
              </w:rPr>
            </w:pPr>
            <w:r w:rsidRPr="005A2497">
              <w:rPr>
                <w:rFonts w:ascii="Arial" w:hAnsi="Arial" w:cs="Arial"/>
                <w:sz w:val="20"/>
                <w:szCs w:val="20"/>
              </w:rPr>
              <w:t>Gate 5: Decision: Benefits Review Complete</w:t>
            </w:r>
          </w:p>
        </w:tc>
        <w:tc>
          <w:tcPr>
            <w:tcW w:w="1561" w:type="dxa"/>
          </w:tcPr>
          <w:p w:rsidRPr="005A2497" w:rsidR="0097559A" w:rsidP="0097559A" w:rsidRDefault="2706658C" w14:paraId="3A1726CB" w14:textId="5B67BD9D">
            <w:pPr>
              <w:rPr>
                <w:rFonts w:ascii="Arial" w:hAnsi="Arial" w:cs="Arial"/>
                <w:sz w:val="20"/>
                <w:szCs w:val="20"/>
              </w:rPr>
            </w:pPr>
            <w:r w:rsidRPr="0A0C0012">
              <w:rPr>
                <w:rFonts w:ascii="Arial" w:hAnsi="Arial" w:cs="Arial"/>
                <w:sz w:val="20"/>
                <w:szCs w:val="20"/>
              </w:rPr>
              <w:t>Apr 2025</w:t>
            </w:r>
          </w:p>
        </w:tc>
      </w:tr>
    </w:tbl>
    <w:p w:rsidRPr="005A2497" w:rsidR="00226C0C" w:rsidP="00843326" w:rsidRDefault="00226C0C" w14:paraId="6449647F" w14:textId="77777777">
      <w:pPr>
        <w:pStyle w:val="NoSpacing"/>
        <w:rPr>
          <w:rFonts w:ascii="Arial" w:hAnsi="Arial" w:cs="Arial"/>
          <w:sz w:val="20"/>
          <w:szCs w:val="20"/>
        </w:rPr>
      </w:pPr>
    </w:p>
    <w:tbl>
      <w:tblPr>
        <w:tblStyle w:val="TableGrid"/>
        <w:tblW w:w="9110" w:type="dxa"/>
        <w:tblLook w:val="04A0" w:firstRow="1" w:lastRow="0" w:firstColumn="1" w:lastColumn="0" w:noHBand="0" w:noVBand="1"/>
      </w:tblPr>
      <w:tblGrid>
        <w:gridCol w:w="5709"/>
        <w:gridCol w:w="1361"/>
        <w:gridCol w:w="2040"/>
      </w:tblGrid>
      <w:tr w:rsidRPr="005A2497" w:rsidR="00C12C17" w:rsidTr="0A0C0012" w14:paraId="730A174A" w14:textId="77777777">
        <w:trPr>
          <w:trHeight w:val="236"/>
        </w:trPr>
        <w:tc>
          <w:tcPr>
            <w:tcW w:w="5709" w:type="dxa"/>
            <w:shd w:val="clear" w:color="auto" w:fill="66B0AB"/>
          </w:tcPr>
          <w:p w:rsidRPr="005A2497" w:rsidR="00C12C17" w:rsidP="00035CB3" w:rsidRDefault="00C12C17" w14:paraId="4C6B3175" w14:textId="197840AF">
            <w:pPr>
              <w:rPr>
                <w:rFonts w:ascii="Arial" w:hAnsi="Arial" w:cs="Arial"/>
                <w:b/>
                <w:bCs/>
                <w:sz w:val="20"/>
                <w:szCs w:val="20"/>
              </w:rPr>
            </w:pPr>
            <w:r w:rsidRPr="005A2497">
              <w:rPr>
                <w:rFonts w:ascii="Arial" w:hAnsi="Arial" w:cs="Arial"/>
                <w:b/>
                <w:bCs/>
                <w:sz w:val="20"/>
                <w:szCs w:val="20"/>
              </w:rPr>
              <w:t> </w:t>
            </w:r>
            <w:r w:rsidRPr="005A2497" w:rsidR="002B297F">
              <w:rPr>
                <w:rFonts w:ascii="Arial" w:hAnsi="Arial" w:cs="Arial"/>
                <w:b/>
                <w:bCs/>
                <w:sz w:val="20"/>
                <w:szCs w:val="20"/>
              </w:rPr>
              <w:t xml:space="preserve">Project </w:t>
            </w:r>
            <w:r w:rsidRPr="005A2497">
              <w:rPr>
                <w:rFonts w:ascii="Arial" w:hAnsi="Arial" w:cs="Arial"/>
                <w:b/>
                <w:bCs/>
                <w:sz w:val="20"/>
                <w:szCs w:val="20"/>
              </w:rPr>
              <w:t>Deliverable</w:t>
            </w:r>
          </w:p>
        </w:tc>
        <w:tc>
          <w:tcPr>
            <w:tcW w:w="1361" w:type="dxa"/>
            <w:shd w:val="clear" w:color="auto" w:fill="66B0AB"/>
          </w:tcPr>
          <w:p w:rsidRPr="005A2497" w:rsidR="00C12C17" w:rsidP="00035CB3" w:rsidRDefault="00C12C17" w14:paraId="4755466C" w14:textId="77777777">
            <w:pPr>
              <w:rPr>
                <w:rFonts w:ascii="Arial" w:hAnsi="Arial" w:cs="Arial"/>
                <w:b/>
                <w:bCs/>
                <w:sz w:val="20"/>
                <w:szCs w:val="20"/>
              </w:rPr>
            </w:pPr>
            <w:r w:rsidRPr="005A2497">
              <w:rPr>
                <w:rFonts w:ascii="Arial" w:hAnsi="Arial" w:cs="Arial"/>
                <w:b/>
                <w:bCs/>
                <w:sz w:val="20"/>
                <w:szCs w:val="20"/>
              </w:rPr>
              <w:t>Start</w:t>
            </w:r>
          </w:p>
        </w:tc>
        <w:tc>
          <w:tcPr>
            <w:tcW w:w="2040" w:type="dxa"/>
            <w:shd w:val="clear" w:color="auto" w:fill="66B0AB"/>
          </w:tcPr>
          <w:p w:rsidRPr="005A2497" w:rsidR="00C12C17" w:rsidP="00035CB3" w:rsidRDefault="00C12C17" w14:paraId="2D7B6CCF" w14:textId="77777777">
            <w:pPr>
              <w:rPr>
                <w:rFonts w:ascii="Arial" w:hAnsi="Arial" w:cs="Arial"/>
                <w:b/>
                <w:bCs/>
                <w:sz w:val="20"/>
                <w:szCs w:val="20"/>
              </w:rPr>
            </w:pPr>
            <w:r w:rsidRPr="005A2497">
              <w:rPr>
                <w:rFonts w:ascii="Arial" w:hAnsi="Arial" w:cs="Arial"/>
                <w:b/>
                <w:bCs/>
                <w:sz w:val="20"/>
                <w:szCs w:val="20"/>
              </w:rPr>
              <w:t>Finish</w:t>
            </w:r>
          </w:p>
        </w:tc>
      </w:tr>
      <w:tr w:rsidRPr="005A2497" w:rsidR="00C12C17" w:rsidTr="0A0C0012" w14:paraId="274B5790" w14:textId="77777777">
        <w:trPr>
          <w:trHeight w:val="236"/>
        </w:trPr>
        <w:tc>
          <w:tcPr>
            <w:tcW w:w="5709" w:type="dxa"/>
          </w:tcPr>
          <w:p w:rsidRPr="005A2497" w:rsidR="00C12C17" w:rsidP="00035CB3" w:rsidRDefault="6DE85284" w14:paraId="652C66C5" w14:textId="65456672">
            <w:pPr>
              <w:rPr>
                <w:rFonts w:ascii="Arial" w:hAnsi="Arial" w:cs="Arial"/>
                <w:sz w:val="20"/>
                <w:szCs w:val="20"/>
              </w:rPr>
            </w:pPr>
            <w:r w:rsidRPr="6CE76D7F">
              <w:rPr>
                <w:rFonts w:ascii="Arial" w:hAnsi="Arial" w:cs="Arial"/>
                <w:sz w:val="20"/>
                <w:szCs w:val="20"/>
              </w:rPr>
              <w:t>PIPS Review and outcomes to be actioned</w:t>
            </w:r>
          </w:p>
        </w:tc>
        <w:tc>
          <w:tcPr>
            <w:tcW w:w="1361" w:type="dxa"/>
          </w:tcPr>
          <w:p w:rsidRPr="005A2497" w:rsidR="00C12C17" w:rsidP="00035CB3" w:rsidRDefault="6DE85284" w14:paraId="736F7B30" w14:textId="11C1BE05">
            <w:pPr>
              <w:rPr>
                <w:rFonts w:ascii="Arial" w:hAnsi="Arial" w:cs="Arial"/>
                <w:sz w:val="20"/>
                <w:szCs w:val="20"/>
              </w:rPr>
            </w:pPr>
            <w:r w:rsidRPr="0A0C0012">
              <w:rPr>
                <w:rFonts w:ascii="Arial" w:hAnsi="Arial" w:cs="Arial"/>
                <w:sz w:val="20"/>
                <w:szCs w:val="20"/>
              </w:rPr>
              <w:t>Oct 2023</w:t>
            </w:r>
          </w:p>
        </w:tc>
        <w:tc>
          <w:tcPr>
            <w:tcW w:w="2040" w:type="dxa"/>
          </w:tcPr>
          <w:p w:rsidRPr="005A2497" w:rsidR="00C12C17" w:rsidP="00035CB3" w:rsidRDefault="6DE85284" w14:paraId="16D5E8A9" w14:textId="1761AABA">
            <w:pPr>
              <w:rPr>
                <w:rFonts w:ascii="Arial" w:hAnsi="Arial" w:cs="Arial"/>
                <w:sz w:val="20"/>
                <w:szCs w:val="20"/>
              </w:rPr>
            </w:pPr>
            <w:r w:rsidRPr="0A0C0012">
              <w:rPr>
                <w:rFonts w:ascii="Arial" w:hAnsi="Arial" w:cs="Arial"/>
                <w:sz w:val="20"/>
                <w:szCs w:val="20"/>
              </w:rPr>
              <w:t>Apr 2024</w:t>
            </w:r>
          </w:p>
        </w:tc>
      </w:tr>
      <w:tr w:rsidRPr="005A2497" w:rsidR="00C12C17" w:rsidTr="0A0C0012" w14:paraId="35CD0290" w14:textId="77777777">
        <w:trPr>
          <w:trHeight w:val="236"/>
        </w:trPr>
        <w:tc>
          <w:tcPr>
            <w:tcW w:w="5709" w:type="dxa"/>
          </w:tcPr>
          <w:p w:rsidRPr="005A2497" w:rsidR="00C12C17" w:rsidP="00035CB3" w:rsidRDefault="2EA3FAFF" w14:paraId="106B03AF" w14:textId="1AD3D63E">
            <w:pPr>
              <w:rPr>
                <w:rFonts w:ascii="Arial" w:hAnsi="Arial" w:cs="Arial"/>
                <w:sz w:val="20"/>
                <w:szCs w:val="20"/>
              </w:rPr>
            </w:pPr>
            <w:r w:rsidRPr="6CE76D7F">
              <w:rPr>
                <w:rFonts w:ascii="Arial" w:hAnsi="Arial" w:cs="Arial"/>
                <w:sz w:val="20"/>
                <w:szCs w:val="20"/>
              </w:rPr>
              <w:t>Archiving contract review</w:t>
            </w:r>
            <w:r w:rsidRPr="6CE76D7F" w:rsidR="7AAE5716">
              <w:rPr>
                <w:rFonts w:ascii="Arial" w:hAnsi="Arial" w:cs="Arial"/>
                <w:sz w:val="20"/>
                <w:szCs w:val="20"/>
              </w:rPr>
              <w:t xml:space="preserve"> </w:t>
            </w:r>
          </w:p>
        </w:tc>
        <w:tc>
          <w:tcPr>
            <w:tcW w:w="1361" w:type="dxa"/>
          </w:tcPr>
          <w:p w:rsidRPr="005A2497" w:rsidR="00C12C17" w:rsidP="00035CB3" w:rsidRDefault="2EA3FAFF" w14:paraId="74791847" w14:textId="1AC05604">
            <w:pPr>
              <w:rPr>
                <w:rFonts w:ascii="Arial" w:hAnsi="Arial" w:cs="Arial"/>
                <w:sz w:val="20"/>
                <w:szCs w:val="20"/>
              </w:rPr>
            </w:pPr>
            <w:r w:rsidRPr="0A0C0012">
              <w:rPr>
                <w:rFonts w:ascii="Arial" w:hAnsi="Arial" w:cs="Arial"/>
                <w:sz w:val="20"/>
                <w:szCs w:val="20"/>
              </w:rPr>
              <w:t>Oct 2023</w:t>
            </w:r>
          </w:p>
        </w:tc>
        <w:tc>
          <w:tcPr>
            <w:tcW w:w="2040" w:type="dxa"/>
          </w:tcPr>
          <w:p w:rsidRPr="005A2497" w:rsidR="00C12C17" w:rsidP="00035CB3" w:rsidRDefault="2EA3FAFF" w14:paraId="64A55579" w14:textId="414A2A9A">
            <w:pPr>
              <w:rPr>
                <w:rFonts w:ascii="Arial" w:hAnsi="Arial" w:cs="Arial"/>
                <w:sz w:val="20"/>
                <w:szCs w:val="20"/>
              </w:rPr>
            </w:pPr>
            <w:r w:rsidRPr="0A0C0012">
              <w:rPr>
                <w:rFonts w:ascii="Arial" w:hAnsi="Arial" w:cs="Arial"/>
                <w:sz w:val="20"/>
                <w:szCs w:val="20"/>
              </w:rPr>
              <w:t>Apr 2024</w:t>
            </w:r>
          </w:p>
        </w:tc>
      </w:tr>
      <w:tr w:rsidRPr="005A2497" w:rsidR="00C12C17" w:rsidTr="0A0C0012" w14:paraId="2592A738" w14:textId="77777777">
        <w:trPr>
          <w:trHeight w:val="236"/>
        </w:trPr>
        <w:tc>
          <w:tcPr>
            <w:tcW w:w="5709" w:type="dxa"/>
          </w:tcPr>
          <w:p w:rsidRPr="005A2497" w:rsidR="00C12C17" w:rsidP="00035CB3" w:rsidRDefault="54179198" w14:paraId="14E80E9B" w14:textId="72EC7A25">
            <w:pPr>
              <w:rPr>
                <w:rFonts w:ascii="Arial" w:hAnsi="Arial" w:cs="Arial"/>
                <w:sz w:val="20"/>
                <w:szCs w:val="20"/>
              </w:rPr>
            </w:pPr>
            <w:r w:rsidRPr="6CE76D7F">
              <w:rPr>
                <w:rFonts w:ascii="Arial" w:hAnsi="Arial" w:cs="Arial"/>
                <w:sz w:val="20"/>
                <w:szCs w:val="20"/>
              </w:rPr>
              <w:t>All third party spend and contract</w:t>
            </w:r>
            <w:r w:rsidRPr="6CE76D7F" w:rsidR="0A45A914">
              <w:rPr>
                <w:rFonts w:ascii="Arial" w:hAnsi="Arial" w:cs="Arial"/>
                <w:sz w:val="20"/>
                <w:szCs w:val="20"/>
              </w:rPr>
              <w:t>s</w:t>
            </w:r>
            <w:r w:rsidRPr="6CE76D7F">
              <w:rPr>
                <w:rFonts w:ascii="Arial" w:hAnsi="Arial" w:cs="Arial"/>
                <w:sz w:val="20"/>
                <w:szCs w:val="20"/>
              </w:rPr>
              <w:t xml:space="preserve"> review</w:t>
            </w:r>
          </w:p>
        </w:tc>
        <w:tc>
          <w:tcPr>
            <w:tcW w:w="1361" w:type="dxa"/>
          </w:tcPr>
          <w:p w:rsidRPr="005A2497" w:rsidR="00C12C17" w:rsidP="00035CB3" w:rsidRDefault="4D9D15B1" w14:paraId="2584FDF1" w14:textId="2A76A1D3">
            <w:pPr>
              <w:rPr>
                <w:rFonts w:ascii="Arial" w:hAnsi="Arial" w:cs="Arial"/>
                <w:sz w:val="20"/>
                <w:szCs w:val="20"/>
              </w:rPr>
            </w:pPr>
            <w:r w:rsidRPr="0A0C0012">
              <w:rPr>
                <w:rFonts w:ascii="Arial" w:hAnsi="Arial" w:cs="Arial"/>
                <w:sz w:val="20"/>
                <w:szCs w:val="20"/>
              </w:rPr>
              <w:t>Oct 2023</w:t>
            </w:r>
          </w:p>
        </w:tc>
        <w:tc>
          <w:tcPr>
            <w:tcW w:w="2040" w:type="dxa"/>
          </w:tcPr>
          <w:p w:rsidRPr="005A2497" w:rsidR="00C12C17" w:rsidP="00035CB3" w:rsidRDefault="2E465CB8" w14:paraId="7A0ED1C7" w14:textId="6796E4F5">
            <w:pPr>
              <w:rPr>
                <w:rFonts w:ascii="Arial" w:hAnsi="Arial" w:cs="Arial"/>
                <w:sz w:val="20"/>
                <w:szCs w:val="20"/>
              </w:rPr>
            </w:pPr>
            <w:r w:rsidRPr="0A0C0012">
              <w:rPr>
                <w:rFonts w:ascii="Arial" w:hAnsi="Arial" w:cs="Arial"/>
                <w:sz w:val="20"/>
                <w:szCs w:val="20"/>
              </w:rPr>
              <w:t>Apr 2024</w:t>
            </w:r>
          </w:p>
        </w:tc>
      </w:tr>
      <w:tr w:rsidRPr="005A2497" w:rsidR="00C12C17" w:rsidTr="0A0C0012" w14:paraId="12D42A0E" w14:textId="77777777">
        <w:trPr>
          <w:trHeight w:val="236"/>
        </w:trPr>
        <w:tc>
          <w:tcPr>
            <w:tcW w:w="5709" w:type="dxa"/>
          </w:tcPr>
          <w:p w:rsidRPr="005A2497" w:rsidR="00C12C17" w:rsidP="00035CB3" w:rsidRDefault="75468ACC" w14:paraId="49755080" w14:textId="0FFBD68C">
            <w:pPr>
              <w:rPr>
                <w:rFonts w:ascii="Arial" w:hAnsi="Arial" w:cs="Arial"/>
                <w:sz w:val="20"/>
                <w:szCs w:val="20"/>
              </w:rPr>
            </w:pPr>
            <w:r w:rsidRPr="6CE76D7F">
              <w:rPr>
                <w:rFonts w:ascii="Arial" w:hAnsi="Arial" w:cs="Arial"/>
                <w:sz w:val="20"/>
                <w:szCs w:val="20"/>
              </w:rPr>
              <w:t>Contract Management practice review</w:t>
            </w:r>
          </w:p>
        </w:tc>
        <w:tc>
          <w:tcPr>
            <w:tcW w:w="1361" w:type="dxa"/>
          </w:tcPr>
          <w:p w:rsidRPr="005A2497" w:rsidR="00C12C17" w:rsidP="00035CB3" w:rsidRDefault="36AB8EA8" w14:paraId="349E095B" w14:textId="500380BE">
            <w:pPr>
              <w:rPr>
                <w:rFonts w:ascii="Arial" w:hAnsi="Arial" w:cs="Arial"/>
                <w:sz w:val="20"/>
                <w:szCs w:val="20"/>
              </w:rPr>
            </w:pPr>
            <w:r w:rsidRPr="0A0C0012">
              <w:rPr>
                <w:rFonts w:ascii="Arial" w:hAnsi="Arial" w:cs="Arial"/>
                <w:sz w:val="20"/>
                <w:szCs w:val="20"/>
              </w:rPr>
              <w:t>Oct 2023</w:t>
            </w:r>
          </w:p>
        </w:tc>
        <w:tc>
          <w:tcPr>
            <w:tcW w:w="2040" w:type="dxa"/>
          </w:tcPr>
          <w:p w:rsidRPr="005A2497" w:rsidR="00C12C17" w:rsidP="00035CB3" w:rsidRDefault="462A7E08" w14:paraId="2DD9AD25" w14:textId="6740839B">
            <w:pPr>
              <w:rPr>
                <w:rFonts w:ascii="Arial" w:hAnsi="Arial" w:cs="Arial"/>
                <w:sz w:val="20"/>
                <w:szCs w:val="20"/>
              </w:rPr>
            </w:pPr>
            <w:r w:rsidRPr="0A0C0012">
              <w:rPr>
                <w:rFonts w:ascii="Arial" w:hAnsi="Arial" w:cs="Arial"/>
                <w:sz w:val="20"/>
                <w:szCs w:val="20"/>
              </w:rPr>
              <w:t>Apr 2024</w:t>
            </w:r>
          </w:p>
        </w:tc>
      </w:tr>
      <w:tr w:rsidRPr="005A2497" w:rsidR="00C12C17" w:rsidTr="0A0C0012" w14:paraId="1409D9B9" w14:textId="77777777">
        <w:trPr>
          <w:trHeight w:val="236"/>
        </w:trPr>
        <w:tc>
          <w:tcPr>
            <w:tcW w:w="5709" w:type="dxa"/>
          </w:tcPr>
          <w:p w:rsidRPr="005A2497" w:rsidR="00C12C17" w:rsidP="00035CB3" w:rsidRDefault="119E008C" w14:paraId="705E04BE" w14:textId="063ADCE5">
            <w:pPr>
              <w:rPr>
                <w:rFonts w:ascii="Arial" w:hAnsi="Arial" w:cs="Arial"/>
                <w:sz w:val="20"/>
                <w:szCs w:val="20"/>
              </w:rPr>
            </w:pPr>
            <w:r w:rsidRPr="1C8BC47B">
              <w:rPr>
                <w:rFonts w:ascii="Arial" w:hAnsi="Arial" w:cs="Arial"/>
                <w:sz w:val="20"/>
                <w:szCs w:val="20"/>
              </w:rPr>
              <w:t>Contract training</w:t>
            </w:r>
          </w:p>
        </w:tc>
        <w:tc>
          <w:tcPr>
            <w:tcW w:w="1361" w:type="dxa"/>
          </w:tcPr>
          <w:p w:rsidRPr="005A2497" w:rsidR="00C12C17" w:rsidP="00035CB3" w:rsidRDefault="32CFD928" w14:paraId="61E8ECED" w14:textId="0DC92A60">
            <w:pPr>
              <w:rPr>
                <w:rFonts w:ascii="Arial" w:hAnsi="Arial" w:cs="Arial"/>
                <w:sz w:val="20"/>
                <w:szCs w:val="20"/>
              </w:rPr>
            </w:pPr>
            <w:r w:rsidRPr="0A0C0012">
              <w:rPr>
                <w:rFonts w:ascii="Arial" w:hAnsi="Arial" w:cs="Arial"/>
                <w:sz w:val="20"/>
                <w:szCs w:val="20"/>
              </w:rPr>
              <w:t>Apr 2024</w:t>
            </w:r>
          </w:p>
        </w:tc>
        <w:tc>
          <w:tcPr>
            <w:tcW w:w="2040" w:type="dxa"/>
          </w:tcPr>
          <w:p w:rsidRPr="005A2497" w:rsidR="00C12C17" w:rsidP="00035CB3" w:rsidRDefault="32CFD928" w14:paraId="3FD61C56" w14:textId="5856A754">
            <w:pPr>
              <w:rPr>
                <w:rFonts w:ascii="Arial" w:hAnsi="Arial" w:cs="Arial"/>
                <w:sz w:val="20"/>
                <w:szCs w:val="20"/>
              </w:rPr>
            </w:pPr>
            <w:r w:rsidRPr="0A0C0012">
              <w:rPr>
                <w:rFonts w:ascii="Arial" w:hAnsi="Arial" w:cs="Arial"/>
                <w:sz w:val="20"/>
                <w:szCs w:val="20"/>
              </w:rPr>
              <w:t>Jun 2024</w:t>
            </w:r>
          </w:p>
        </w:tc>
      </w:tr>
      <w:tr w:rsidRPr="005A2497" w:rsidR="00C12C17" w:rsidTr="0A0C0012" w14:paraId="4F869533" w14:textId="77777777">
        <w:trPr>
          <w:trHeight w:val="236"/>
        </w:trPr>
        <w:tc>
          <w:tcPr>
            <w:tcW w:w="5709" w:type="dxa"/>
          </w:tcPr>
          <w:p w:rsidRPr="005A2497" w:rsidR="00C12C17" w:rsidP="1C8BC47B" w:rsidRDefault="1238FC9D" w14:paraId="58F256D0" w14:textId="74EC6E23">
            <w:pPr>
              <w:rPr>
                <w:rFonts w:ascii="Arial" w:hAnsi="Arial" w:cs="Arial"/>
                <w:sz w:val="20"/>
                <w:szCs w:val="20"/>
              </w:rPr>
            </w:pPr>
            <w:r w:rsidRPr="1C8BC47B">
              <w:rPr>
                <w:rFonts w:ascii="Arial" w:hAnsi="Arial" w:cs="Arial"/>
                <w:sz w:val="20"/>
                <w:szCs w:val="20"/>
              </w:rPr>
              <w:t>Support for Contract Managers to achieve savings on third party contracts</w:t>
            </w:r>
          </w:p>
        </w:tc>
        <w:tc>
          <w:tcPr>
            <w:tcW w:w="1361" w:type="dxa"/>
          </w:tcPr>
          <w:p w:rsidRPr="005A2497" w:rsidR="00C12C17" w:rsidP="00035CB3" w:rsidRDefault="1238FC9D" w14:paraId="63F943C6" w14:textId="05D03450">
            <w:pPr>
              <w:rPr>
                <w:rFonts w:ascii="Arial" w:hAnsi="Arial" w:cs="Arial"/>
                <w:sz w:val="20"/>
                <w:szCs w:val="20"/>
              </w:rPr>
            </w:pPr>
            <w:r w:rsidRPr="0A0C0012">
              <w:rPr>
                <w:rFonts w:ascii="Arial" w:hAnsi="Arial" w:cs="Arial"/>
                <w:sz w:val="20"/>
                <w:szCs w:val="20"/>
              </w:rPr>
              <w:t>Jun 2024</w:t>
            </w:r>
          </w:p>
        </w:tc>
        <w:tc>
          <w:tcPr>
            <w:tcW w:w="2040" w:type="dxa"/>
          </w:tcPr>
          <w:p w:rsidRPr="005A2497" w:rsidR="00C12C17" w:rsidP="00035CB3" w:rsidRDefault="1238FC9D" w14:paraId="6CA9F771" w14:textId="12F2F121">
            <w:pPr>
              <w:rPr>
                <w:rFonts w:ascii="Arial" w:hAnsi="Arial" w:cs="Arial"/>
                <w:sz w:val="20"/>
                <w:szCs w:val="20"/>
              </w:rPr>
            </w:pPr>
            <w:r w:rsidRPr="0A0C0012">
              <w:rPr>
                <w:rFonts w:ascii="Arial" w:hAnsi="Arial" w:cs="Arial"/>
                <w:sz w:val="20"/>
                <w:szCs w:val="20"/>
              </w:rPr>
              <w:t>Mar 2025</w:t>
            </w:r>
          </w:p>
        </w:tc>
      </w:tr>
    </w:tbl>
    <w:p w:rsidRPr="005A2497" w:rsidR="00BE2546" w:rsidP="00843326" w:rsidRDefault="00BE2546" w14:paraId="684CF6C2" w14:textId="77777777">
      <w:pPr>
        <w:pStyle w:val="NoSpacing"/>
        <w:rPr>
          <w:rFonts w:ascii="Arial" w:hAnsi="Arial" w:cs="Arial"/>
          <w:sz w:val="20"/>
          <w:szCs w:val="20"/>
        </w:rPr>
      </w:pPr>
    </w:p>
    <w:p w:rsidRPr="00035CB3" w:rsidR="00BB0769" w:rsidP="00035CB3" w:rsidRDefault="00BB0769" w14:paraId="1BAA9751" w14:textId="0E797FEF">
      <w:pPr>
        <w:pStyle w:val="NoSpacing"/>
        <w:shd w:val="clear" w:color="auto" w:fill="7030A0"/>
        <w:rPr>
          <w:rFonts w:ascii="Arial" w:hAnsi="Arial" w:cs="Arial"/>
          <w:b/>
          <w:bCs/>
          <w:color w:val="FFFFFF" w:themeColor="background1"/>
          <w:sz w:val="20"/>
          <w:szCs w:val="20"/>
        </w:rPr>
      </w:pPr>
      <w:r w:rsidRPr="00035CB3">
        <w:rPr>
          <w:rFonts w:ascii="Arial" w:hAnsi="Arial" w:cs="Arial"/>
          <w:b/>
          <w:bCs/>
          <w:color w:val="FFFFFF" w:themeColor="background1"/>
          <w:sz w:val="20"/>
          <w:szCs w:val="20"/>
        </w:rPr>
        <w:t>Approvals</w:t>
      </w:r>
      <w:r w:rsidRPr="00035CB3" w:rsidR="00C12C17">
        <w:rPr>
          <w:rFonts w:ascii="Arial" w:hAnsi="Arial" w:cs="Arial"/>
          <w:b/>
          <w:bCs/>
          <w:color w:val="FFFFFF" w:themeColor="background1"/>
          <w:sz w:val="20"/>
          <w:szCs w:val="20"/>
        </w:rPr>
        <w:t xml:space="preserve"> of this Savings Delivery Plan</w:t>
      </w:r>
    </w:p>
    <w:p w:rsidRPr="005A2497" w:rsidR="00C12C17" w:rsidP="00843326" w:rsidRDefault="00C12C17" w14:paraId="7F6CB2AB" w14:textId="7777777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3681"/>
        <w:gridCol w:w="3544"/>
        <w:gridCol w:w="1791"/>
      </w:tblGrid>
      <w:tr w:rsidRPr="005A2497" w:rsidR="00BB0769" w:rsidTr="0C7CBD0B" w14:paraId="1D6B993F" w14:textId="77777777">
        <w:tc>
          <w:tcPr>
            <w:tcW w:w="3681" w:type="dxa"/>
            <w:shd w:val="clear" w:color="auto" w:fill="66B0AB"/>
          </w:tcPr>
          <w:p w:rsidRPr="005A2497" w:rsidR="00BB0769" w:rsidP="00843326" w:rsidRDefault="00BB0769" w14:paraId="7A7BBC50" w14:textId="77777777">
            <w:pPr>
              <w:pStyle w:val="NoSpacing"/>
              <w:rPr>
                <w:rFonts w:ascii="Arial" w:hAnsi="Arial" w:cs="Arial"/>
                <w:b/>
                <w:bCs/>
                <w:sz w:val="20"/>
                <w:szCs w:val="20"/>
              </w:rPr>
            </w:pPr>
            <w:r w:rsidRPr="005A2497">
              <w:rPr>
                <w:rFonts w:ascii="Arial" w:hAnsi="Arial" w:cs="Arial"/>
                <w:b/>
                <w:bCs/>
                <w:sz w:val="20"/>
                <w:szCs w:val="20"/>
              </w:rPr>
              <w:t>Name</w:t>
            </w:r>
          </w:p>
        </w:tc>
        <w:tc>
          <w:tcPr>
            <w:tcW w:w="3544" w:type="dxa"/>
            <w:shd w:val="clear" w:color="auto" w:fill="66B0AB"/>
          </w:tcPr>
          <w:p w:rsidRPr="005A2497" w:rsidR="00BB0769" w:rsidP="00843326" w:rsidRDefault="00BB0769" w14:paraId="77F44A9C" w14:textId="77777777">
            <w:pPr>
              <w:pStyle w:val="NoSpacing"/>
              <w:rPr>
                <w:rFonts w:ascii="Arial" w:hAnsi="Arial" w:cs="Arial"/>
                <w:b/>
                <w:bCs/>
                <w:sz w:val="20"/>
                <w:szCs w:val="20"/>
              </w:rPr>
            </w:pPr>
            <w:r w:rsidRPr="005A2497">
              <w:rPr>
                <w:rFonts w:ascii="Arial" w:hAnsi="Arial" w:cs="Arial"/>
                <w:b/>
                <w:bCs/>
                <w:sz w:val="20"/>
                <w:szCs w:val="20"/>
              </w:rPr>
              <w:t>Role</w:t>
            </w:r>
          </w:p>
        </w:tc>
        <w:tc>
          <w:tcPr>
            <w:tcW w:w="1791" w:type="dxa"/>
            <w:shd w:val="clear" w:color="auto" w:fill="66B0AB"/>
          </w:tcPr>
          <w:p w:rsidRPr="005A2497" w:rsidR="00BB0769" w:rsidP="00843326" w:rsidRDefault="00BB0769" w14:paraId="71DF451F" w14:textId="77777777">
            <w:pPr>
              <w:pStyle w:val="NoSpacing"/>
              <w:rPr>
                <w:rFonts w:ascii="Arial" w:hAnsi="Arial" w:cs="Arial"/>
                <w:b/>
                <w:bCs/>
                <w:sz w:val="20"/>
                <w:szCs w:val="20"/>
              </w:rPr>
            </w:pPr>
            <w:r w:rsidRPr="005A2497">
              <w:rPr>
                <w:rFonts w:ascii="Arial" w:hAnsi="Arial" w:cs="Arial"/>
                <w:b/>
                <w:bCs/>
                <w:sz w:val="20"/>
                <w:szCs w:val="20"/>
              </w:rPr>
              <w:t>Date Agreed</w:t>
            </w:r>
          </w:p>
        </w:tc>
      </w:tr>
      <w:tr w:rsidRPr="005A2497" w:rsidR="00BB0769" w:rsidTr="0C7CBD0B" w14:paraId="18525D39" w14:textId="77777777">
        <w:tc>
          <w:tcPr>
            <w:tcW w:w="3681" w:type="dxa"/>
          </w:tcPr>
          <w:p w:rsidRPr="005A2497" w:rsidR="00BB0769" w:rsidP="00843326" w:rsidRDefault="7EC84153" w14:paraId="43E2B76A" w14:textId="10EC4C12">
            <w:pPr>
              <w:pStyle w:val="NoSpacing"/>
              <w:rPr>
                <w:rFonts w:ascii="Arial" w:hAnsi="Arial" w:cs="Arial"/>
                <w:sz w:val="20"/>
                <w:szCs w:val="20"/>
              </w:rPr>
            </w:pPr>
            <w:r w:rsidRPr="35CCF489">
              <w:rPr>
                <w:rFonts w:ascii="Arial" w:hAnsi="Arial" w:cs="Arial"/>
                <w:sz w:val="20"/>
                <w:szCs w:val="20"/>
              </w:rPr>
              <w:t>Mark Fowler</w:t>
            </w:r>
          </w:p>
        </w:tc>
        <w:tc>
          <w:tcPr>
            <w:tcW w:w="3544" w:type="dxa"/>
          </w:tcPr>
          <w:p w:rsidRPr="005A2497" w:rsidR="00BB0769" w:rsidP="00843326" w:rsidRDefault="00BB0769" w14:paraId="6BA339D1" w14:textId="77777777">
            <w:pPr>
              <w:pStyle w:val="NoSpacing"/>
              <w:rPr>
                <w:rFonts w:ascii="Arial" w:hAnsi="Arial" w:cs="Arial"/>
                <w:i/>
                <w:iCs/>
                <w:sz w:val="20"/>
                <w:szCs w:val="20"/>
              </w:rPr>
            </w:pPr>
            <w:r w:rsidRPr="005A2497">
              <w:rPr>
                <w:rFonts w:ascii="Arial" w:hAnsi="Arial" w:cs="Arial"/>
                <w:i/>
                <w:iCs/>
                <w:sz w:val="20"/>
                <w:szCs w:val="20"/>
              </w:rPr>
              <w:t>Project Sponsor</w:t>
            </w:r>
          </w:p>
        </w:tc>
        <w:tc>
          <w:tcPr>
            <w:tcW w:w="1791" w:type="dxa"/>
          </w:tcPr>
          <w:p w:rsidRPr="005A2497" w:rsidR="00BB0769" w:rsidP="00843326" w:rsidRDefault="14985526" w14:paraId="6FEDFEBC" w14:textId="09E180F8">
            <w:pPr>
              <w:pStyle w:val="NoSpacing"/>
              <w:rPr>
                <w:rFonts w:ascii="Arial" w:hAnsi="Arial" w:cs="Arial"/>
                <w:sz w:val="20"/>
                <w:szCs w:val="20"/>
              </w:rPr>
            </w:pPr>
            <w:r w:rsidRPr="0C7CBD0B">
              <w:rPr>
                <w:rFonts w:ascii="Arial" w:hAnsi="Arial" w:cs="Arial"/>
                <w:sz w:val="20"/>
                <w:szCs w:val="20"/>
              </w:rPr>
              <w:t>TBC</w:t>
            </w:r>
          </w:p>
        </w:tc>
      </w:tr>
      <w:tr w:rsidRPr="005A2497" w:rsidR="00BB0769" w:rsidTr="0C7CBD0B" w14:paraId="6092AC9B" w14:textId="77777777">
        <w:tc>
          <w:tcPr>
            <w:tcW w:w="3681" w:type="dxa"/>
          </w:tcPr>
          <w:p w:rsidRPr="005A2497" w:rsidR="00BB0769" w:rsidP="00843326" w:rsidRDefault="5BD884E9" w14:paraId="2ACF0EFA" w14:textId="769CF9F5">
            <w:pPr>
              <w:pStyle w:val="NoSpacing"/>
              <w:rPr>
                <w:rFonts w:ascii="Arial" w:hAnsi="Arial" w:cs="Arial"/>
                <w:sz w:val="20"/>
                <w:szCs w:val="20"/>
              </w:rPr>
            </w:pPr>
            <w:r w:rsidRPr="35CCF489">
              <w:rPr>
                <w:rFonts w:ascii="Arial" w:hAnsi="Arial" w:cs="Arial"/>
                <w:sz w:val="20"/>
                <w:szCs w:val="20"/>
              </w:rPr>
              <w:t>Catharine Southern</w:t>
            </w:r>
          </w:p>
        </w:tc>
        <w:tc>
          <w:tcPr>
            <w:tcW w:w="3544" w:type="dxa"/>
          </w:tcPr>
          <w:p w:rsidRPr="005A2497" w:rsidR="00BB0769" w:rsidP="00843326" w:rsidRDefault="00BB0769" w14:paraId="647E5A4B" w14:textId="77777777">
            <w:pPr>
              <w:pStyle w:val="NoSpacing"/>
              <w:rPr>
                <w:rFonts w:ascii="Arial" w:hAnsi="Arial" w:cs="Arial"/>
                <w:i/>
                <w:iCs/>
                <w:sz w:val="20"/>
                <w:szCs w:val="20"/>
              </w:rPr>
            </w:pPr>
            <w:r w:rsidRPr="005A2497">
              <w:rPr>
                <w:rFonts w:ascii="Arial" w:hAnsi="Arial" w:cs="Arial"/>
                <w:i/>
                <w:iCs/>
                <w:sz w:val="20"/>
                <w:szCs w:val="20"/>
              </w:rPr>
              <w:t>Head of Service</w:t>
            </w:r>
          </w:p>
        </w:tc>
        <w:tc>
          <w:tcPr>
            <w:tcW w:w="1791" w:type="dxa"/>
          </w:tcPr>
          <w:p w:rsidRPr="005A2497" w:rsidR="00BB0769" w:rsidP="00843326" w:rsidRDefault="4E2B0BFD" w14:paraId="5E5AE867" w14:textId="42FEF290">
            <w:pPr>
              <w:pStyle w:val="NoSpacing"/>
              <w:rPr>
                <w:rFonts w:ascii="Arial" w:hAnsi="Arial" w:cs="Arial"/>
                <w:sz w:val="20"/>
                <w:szCs w:val="20"/>
              </w:rPr>
            </w:pPr>
            <w:r w:rsidRPr="0C7CBD0B">
              <w:rPr>
                <w:rFonts w:ascii="Arial" w:hAnsi="Arial" w:cs="Arial"/>
                <w:sz w:val="20"/>
                <w:szCs w:val="20"/>
              </w:rPr>
              <w:t>TBC</w:t>
            </w:r>
          </w:p>
        </w:tc>
      </w:tr>
    </w:tbl>
    <w:p w:rsidRPr="005A2497" w:rsidR="00BB0769" w:rsidP="00843326" w:rsidRDefault="00BB0769" w14:paraId="0E04BE80" w14:textId="77777777">
      <w:pPr>
        <w:pStyle w:val="NoSpacing"/>
        <w:rPr>
          <w:rFonts w:ascii="Arial" w:hAnsi="Arial" w:cs="Arial"/>
          <w:sz w:val="20"/>
          <w:szCs w:val="20"/>
        </w:rPr>
      </w:pPr>
    </w:p>
    <w:sectPr w:rsidRPr="005A2497" w:rsidR="00BB0769">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0A4A" w:rsidP="00843326" w:rsidRDefault="00D70A4A" w14:paraId="34458684" w14:textId="77777777">
      <w:r>
        <w:separator/>
      </w:r>
    </w:p>
  </w:endnote>
  <w:endnote w:type="continuationSeparator" w:id="0">
    <w:p w:rsidR="00D70A4A" w:rsidP="00843326" w:rsidRDefault="00D70A4A" w14:paraId="27B7A1AD" w14:textId="77777777">
      <w:r>
        <w:continuationSeparator/>
      </w:r>
    </w:p>
  </w:endnote>
  <w:endnote w:type="continuationNotice" w:id="1">
    <w:p w:rsidR="00D70A4A" w:rsidRDefault="00D70A4A" w14:paraId="183019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0A4A" w:rsidP="00843326" w:rsidRDefault="00D70A4A" w14:paraId="5B8FC9B1" w14:textId="77777777">
      <w:r>
        <w:separator/>
      </w:r>
    </w:p>
  </w:footnote>
  <w:footnote w:type="continuationSeparator" w:id="0">
    <w:p w:rsidR="00D70A4A" w:rsidP="00843326" w:rsidRDefault="00D70A4A" w14:paraId="565F3FEB" w14:textId="77777777">
      <w:r>
        <w:continuationSeparator/>
      </w:r>
    </w:p>
  </w:footnote>
  <w:footnote w:type="continuationNotice" w:id="1">
    <w:p w:rsidR="00D70A4A" w:rsidRDefault="00D70A4A" w14:paraId="40CCD3C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7540" w:rsidP="00843326" w:rsidRDefault="002A7540" w14:paraId="027AA374" w14:textId="66769662">
    <w:pPr>
      <w:pStyle w:val="Header"/>
    </w:pPr>
  </w:p>
  <w:p w:rsidR="002A7540" w:rsidP="00843326" w:rsidRDefault="002A7540" w14:paraId="495E00F3"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Pu1J2i4" int2:invalidationBookmarkName="" int2:hashCode="FbavjYXL4SKccV" int2:id="5CWCm4J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4113"/>
    <w:multiLevelType w:val="hybridMultilevel"/>
    <w:tmpl w:val="EC869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111D7F"/>
    <w:multiLevelType w:val="hybridMultilevel"/>
    <w:tmpl w:val="A1942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F77E08"/>
    <w:multiLevelType w:val="hybridMultilevel"/>
    <w:tmpl w:val="BD668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C21D38"/>
    <w:multiLevelType w:val="hybridMultilevel"/>
    <w:tmpl w:val="C616D158"/>
    <w:lvl w:ilvl="0" w:tplc="D4C8AFD0">
      <w:start w:val="1"/>
      <w:numFmt w:val="bullet"/>
      <w:lvlText w:val=""/>
      <w:lvlJc w:val="left"/>
      <w:pPr>
        <w:ind w:left="720" w:hanging="360"/>
      </w:pPr>
      <w:rPr>
        <w:rFonts w:hint="default" w:ascii="Symbol" w:hAnsi="Symbol"/>
      </w:rPr>
    </w:lvl>
    <w:lvl w:ilvl="1" w:tplc="5C2EDF32">
      <w:start w:val="1"/>
      <w:numFmt w:val="bullet"/>
      <w:lvlText w:val="o"/>
      <w:lvlJc w:val="left"/>
      <w:pPr>
        <w:ind w:left="1440" w:hanging="360"/>
      </w:pPr>
      <w:rPr>
        <w:rFonts w:hint="default" w:ascii="Courier New" w:hAnsi="Courier New"/>
      </w:rPr>
    </w:lvl>
    <w:lvl w:ilvl="2" w:tplc="124C70CE">
      <w:start w:val="1"/>
      <w:numFmt w:val="bullet"/>
      <w:lvlText w:val=""/>
      <w:lvlJc w:val="left"/>
      <w:pPr>
        <w:ind w:left="2160" w:hanging="360"/>
      </w:pPr>
      <w:rPr>
        <w:rFonts w:hint="default" w:ascii="Wingdings" w:hAnsi="Wingdings"/>
      </w:rPr>
    </w:lvl>
    <w:lvl w:ilvl="3" w:tplc="2B14F660">
      <w:start w:val="1"/>
      <w:numFmt w:val="bullet"/>
      <w:lvlText w:val=""/>
      <w:lvlJc w:val="left"/>
      <w:pPr>
        <w:ind w:left="2880" w:hanging="360"/>
      </w:pPr>
      <w:rPr>
        <w:rFonts w:hint="default" w:ascii="Symbol" w:hAnsi="Symbol"/>
      </w:rPr>
    </w:lvl>
    <w:lvl w:ilvl="4" w:tplc="484CEA0C">
      <w:start w:val="1"/>
      <w:numFmt w:val="bullet"/>
      <w:lvlText w:val="o"/>
      <w:lvlJc w:val="left"/>
      <w:pPr>
        <w:ind w:left="3600" w:hanging="360"/>
      </w:pPr>
      <w:rPr>
        <w:rFonts w:hint="default" w:ascii="Courier New" w:hAnsi="Courier New"/>
      </w:rPr>
    </w:lvl>
    <w:lvl w:ilvl="5" w:tplc="735E774A">
      <w:start w:val="1"/>
      <w:numFmt w:val="bullet"/>
      <w:lvlText w:val=""/>
      <w:lvlJc w:val="left"/>
      <w:pPr>
        <w:ind w:left="4320" w:hanging="360"/>
      </w:pPr>
      <w:rPr>
        <w:rFonts w:hint="default" w:ascii="Wingdings" w:hAnsi="Wingdings"/>
      </w:rPr>
    </w:lvl>
    <w:lvl w:ilvl="6" w:tplc="E886E4F2">
      <w:start w:val="1"/>
      <w:numFmt w:val="bullet"/>
      <w:lvlText w:val=""/>
      <w:lvlJc w:val="left"/>
      <w:pPr>
        <w:ind w:left="5040" w:hanging="360"/>
      </w:pPr>
      <w:rPr>
        <w:rFonts w:hint="default" w:ascii="Symbol" w:hAnsi="Symbol"/>
      </w:rPr>
    </w:lvl>
    <w:lvl w:ilvl="7" w:tplc="AF16591E">
      <w:start w:val="1"/>
      <w:numFmt w:val="bullet"/>
      <w:lvlText w:val="o"/>
      <w:lvlJc w:val="left"/>
      <w:pPr>
        <w:ind w:left="5760" w:hanging="360"/>
      </w:pPr>
      <w:rPr>
        <w:rFonts w:hint="default" w:ascii="Courier New" w:hAnsi="Courier New"/>
      </w:rPr>
    </w:lvl>
    <w:lvl w:ilvl="8" w:tplc="4A866030">
      <w:start w:val="1"/>
      <w:numFmt w:val="bullet"/>
      <w:lvlText w:val=""/>
      <w:lvlJc w:val="left"/>
      <w:pPr>
        <w:ind w:left="6480" w:hanging="360"/>
      </w:pPr>
      <w:rPr>
        <w:rFonts w:hint="default" w:ascii="Wingdings" w:hAnsi="Wingdings"/>
      </w:rPr>
    </w:lvl>
  </w:abstractNum>
  <w:abstractNum w:abstractNumId="4" w15:restartNumberingAfterBreak="0">
    <w:nsid w:val="219A42C6"/>
    <w:multiLevelType w:val="hybridMultilevel"/>
    <w:tmpl w:val="1320F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DB1483"/>
    <w:multiLevelType w:val="hybridMultilevel"/>
    <w:tmpl w:val="2D66E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3737657"/>
    <w:multiLevelType w:val="hybridMultilevel"/>
    <w:tmpl w:val="070A76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6C310B2"/>
    <w:multiLevelType w:val="hybridMultilevel"/>
    <w:tmpl w:val="0E7CF8FE"/>
    <w:lvl w:ilvl="0" w:tplc="CC58F728">
      <w:start w:val="1"/>
      <w:numFmt w:val="bullet"/>
      <w:lvlText w:val=""/>
      <w:lvlJc w:val="left"/>
      <w:pPr>
        <w:ind w:left="720" w:hanging="360"/>
      </w:pPr>
      <w:rPr>
        <w:rFonts w:hint="default" w:ascii="Symbol" w:hAnsi="Symbol"/>
      </w:rPr>
    </w:lvl>
    <w:lvl w:ilvl="1" w:tplc="457C243E">
      <w:start w:val="1"/>
      <w:numFmt w:val="bullet"/>
      <w:lvlText w:val="o"/>
      <w:lvlJc w:val="left"/>
      <w:pPr>
        <w:ind w:left="1440" w:hanging="360"/>
      </w:pPr>
      <w:rPr>
        <w:rFonts w:hint="default" w:ascii="Courier New" w:hAnsi="Courier New"/>
      </w:rPr>
    </w:lvl>
    <w:lvl w:ilvl="2" w:tplc="B394B258">
      <w:start w:val="1"/>
      <w:numFmt w:val="bullet"/>
      <w:lvlText w:val=""/>
      <w:lvlJc w:val="left"/>
      <w:pPr>
        <w:ind w:left="2160" w:hanging="360"/>
      </w:pPr>
      <w:rPr>
        <w:rFonts w:hint="default" w:ascii="Wingdings" w:hAnsi="Wingdings"/>
      </w:rPr>
    </w:lvl>
    <w:lvl w:ilvl="3" w:tplc="4892627A">
      <w:start w:val="1"/>
      <w:numFmt w:val="bullet"/>
      <w:lvlText w:val=""/>
      <w:lvlJc w:val="left"/>
      <w:pPr>
        <w:ind w:left="2880" w:hanging="360"/>
      </w:pPr>
      <w:rPr>
        <w:rFonts w:hint="default" w:ascii="Symbol" w:hAnsi="Symbol"/>
      </w:rPr>
    </w:lvl>
    <w:lvl w:ilvl="4" w:tplc="7BC0E0AA">
      <w:start w:val="1"/>
      <w:numFmt w:val="bullet"/>
      <w:lvlText w:val="o"/>
      <w:lvlJc w:val="left"/>
      <w:pPr>
        <w:ind w:left="3600" w:hanging="360"/>
      </w:pPr>
      <w:rPr>
        <w:rFonts w:hint="default" w:ascii="Courier New" w:hAnsi="Courier New"/>
      </w:rPr>
    </w:lvl>
    <w:lvl w:ilvl="5" w:tplc="94061896">
      <w:start w:val="1"/>
      <w:numFmt w:val="bullet"/>
      <w:lvlText w:val=""/>
      <w:lvlJc w:val="left"/>
      <w:pPr>
        <w:ind w:left="4320" w:hanging="360"/>
      </w:pPr>
      <w:rPr>
        <w:rFonts w:hint="default" w:ascii="Wingdings" w:hAnsi="Wingdings"/>
      </w:rPr>
    </w:lvl>
    <w:lvl w:ilvl="6" w:tplc="B9CA001E">
      <w:start w:val="1"/>
      <w:numFmt w:val="bullet"/>
      <w:lvlText w:val=""/>
      <w:lvlJc w:val="left"/>
      <w:pPr>
        <w:ind w:left="5040" w:hanging="360"/>
      </w:pPr>
      <w:rPr>
        <w:rFonts w:hint="default" w:ascii="Symbol" w:hAnsi="Symbol"/>
      </w:rPr>
    </w:lvl>
    <w:lvl w:ilvl="7" w:tplc="E8F0F1E2">
      <w:start w:val="1"/>
      <w:numFmt w:val="bullet"/>
      <w:lvlText w:val="o"/>
      <w:lvlJc w:val="left"/>
      <w:pPr>
        <w:ind w:left="5760" w:hanging="360"/>
      </w:pPr>
      <w:rPr>
        <w:rFonts w:hint="default" w:ascii="Courier New" w:hAnsi="Courier New"/>
      </w:rPr>
    </w:lvl>
    <w:lvl w:ilvl="8" w:tplc="027EE93C">
      <w:start w:val="1"/>
      <w:numFmt w:val="bullet"/>
      <w:lvlText w:val=""/>
      <w:lvlJc w:val="left"/>
      <w:pPr>
        <w:ind w:left="6480" w:hanging="360"/>
      </w:pPr>
      <w:rPr>
        <w:rFonts w:hint="default" w:ascii="Wingdings" w:hAnsi="Wingdings"/>
      </w:rPr>
    </w:lvl>
  </w:abstractNum>
  <w:abstractNum w:abstractNumId="8" w15:restartNumberingAfterBreak="0">
    <w:nsid w:val="70D180BD"/>
    <w:multiLevelType w:val="hybridMultilevel"/>
    <w:tmpl w:val="D7128BA4"/>
    <w:lvl w:ilvl="0" w:tplc="9FCC0058">
      <w:start w:val="1"/>
      <w:numFmt w:val="bullet"/>
      <w:lvlText w:val=""/>
      <w:lvlJc w:val="left"/>
      <w:pPr>
        <w:ind w:left="720" w:hanging="360"/>
      </w:pPr>
      <w:rPr>
        <w:rFonts w:hint="default" w:ascii="Symbol" w:hAnsi="Symbol"/>
      </w:rPr>
    </w:lvl>
    <w:lvl w:ilvl="1" w:tplc="AB6CEA5A">
      <w:start w:val="1"/>
      <w:numFmt w:val="bullet"/>
      <w:lvlText w:val="o"/>
      <w:lvlJc w:val="left"/>
      <w:pPr>
        <w:ind w:left="1440" w:hanging="360"/>
      </w:pPr>
      <w:rPr>
        <w:rFonts w:hint="default" w:ascii="Courier New" w:hAnsi="Courier New"/>
      </w:rPr>
    </w:lvl>
    <w:lvl w:ilvl="2" w:tplc="47202934">
      <w:start w:val="1"/>
      <w:numFmt w:val="bullet"/>
      <w:lvlText w:val=""/>
      <w:lvlJc w:val="left"/>
      <w:pPr>
        <w:ind w:left="2160" w:hanging="360"/>
      </w:pPr>
      <w:rPr>
        <w:rFonts w:hint="default" w:ascii="Wingdings" w:hAnsi="Wingdings"/>
      </w:rPr>
    </w:lvl>
    <w:lvl w:ilvl="3" w:tplc="1722C832">
      <w:start w:val="1"/>
      <w:numFmt w:val="bullet"/>
      <w:lvlText w:val=""/>
      <w:lvlJc w:val="left"/>
      <w:pPr>
        <w:ind w:left="2880" w:hanging="360"/>
      </w:pPr>
      <w:rPr>
        <w:rFonts w:hint="default" w:ascii="Symbol" w:hAnsi="Symbol"/>
      </w:rPr>
    </w:lvl>
    <w:lvl w:ilvl="4" w:tplc="D2129FAA">
      <w:start w:val="1"/>
      <w:numFmt w:val="bullet"/>
      <w:lvlText w:val="o"/>
      <w:lvlJc w:val="left"/>
      <w:pPr>
        <w:ind w:left="3600" w:hanging="360"/>
      </w:pPr>
      <w:rPr>
        <w:rFonts w:hint="default" w:ascii="Courier New" w:hAnsi="Courier New"/>
      </w:rPr>
    </w:lvl>
    <w:lvl w:ilvl="5" w:tplc="AC8AB0D4">
      <w:start w:val="1"/>
      <w:numFmt w:val="bullet"/>
      <w:lvlText w:val=""/>
      <w:lvlJc w:val="left"/>
      <w:pPr>
        <w:ind w:left="4320" w:hanging="360"/>
      </w:pPr>
      <w:rPr>
        <w:rFonts w:hint="default" w:ascii="Wingdings" w:hAnsi="Wingdings"/>
      </w:rPr>
    </w:lvl>
    <w:lvl w:ilvl="6" w:tplc="56A09A76">
      <w:start w:val="1"/>
      <w:numFmt w:val="bullet"/>
      <w:lvlText w:val=""/>
      <w:lvlJc w:val="left"/>
      <w:pPr>
        <w:ind w:left="5040" w:hanging="360"/>
      </w:pPr>
      <w:rPr>
        <w:rFonts w:hint="default" w:ascii="Symbol" w:hAnsi="Symbol"/>
      </w:rPr>
    </w:lvl>
    <w:lvl w:ilvl="7" w:tplc="4F805632">
      <w:start w:val="1"/>
      <w:numFmt w:val="bullet"/>
      <w:lvlText w:val="o"/>
      <w:lvlJc w:val="left"/>
      <w:pPr>
        <w:ind w:left="5760" w:hanging="360"/>
      </w:pPr>
      <w:rPr>
        <w:rFonts w:hint="default" w:ascii="Courier New" w:hAnsi="Courier New"/>
      </w:rPr>
    </w:lvl>
    <w:lvl w:ilvl="8" w:tplc="25F81FD8">
      <w:start w:val="1"/>
      <w:numFmt w:val="bullet"/>
      <w:lvlText w:val=""/>
      <w:lvlJc w:val="left"/>
      <w:pPr>
        <w:ind w:left="6480" w:hanging="360"/>
      </w:pPr>
      <w:rPr>
        <w:rFonts w:hint="default" w:ascii="Wingdings" w:hAnsi="Wingdings"/>
      </w:rPr>
    </w:lvl>
  </w:abstractNum>
  <w:abstractNum w:abstractNumId="9" w15:restartNumberingAfterBreak="0">
    <w:nsid w:val="78A52592"/>
    <w:multiLevelType w:val="hybridMultilevel"/>
    <w:tmpl w:val="E91ED0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98323695">
    <w:abstractNumId w:val="3"/>
  </w:num>
  <w:num w:numId="2" w16cid:durableId="25757686">
    <w:abstractNumId w:val="8"/>
  </w:num>
  <w:num w:numId="3" w16cid:durableId="63113593">
    <w:abstractNumId w:val="7"/>
  </w:num>
  <w:num w:numId="4" w16cid:durableId="231307979">
    <w:abstractNumId w:val="5"/>
  </w:num>
  <w:num w:numId="5" w16cid:durableId="1700355059">
    <w:abstractNumId w:val="6"/>
  </w:num>
  <w:num w:numId="6" w16cid:durableId="830298173">
    <w:abstractNumId w:val="9"/>
  </w:num>
  <w:num w:numId="7" w16cid:durableId="1520394758">
    <w:abstractNumId w:val="1"/>
  </w:num>
  <w:num w:numId="8" w16cid:durableId="965428238">
    <w:abstractNumId w:val="2"/>
  </w:num>
  <w:num w:numId="9" w16cid:durableId="1167281180">
    <w:abstractNumId w:val="4"/>
  </w:num>
  <w:num w:numId="10" w16cid:durableId="176680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D"/>
    <w:rsid w:val="000023DF"/>
    <w:rsid w:val="00006FC3"/>
    <w:rsid w:val="000101CA"/>
    <w:rsid w:val="000336CC"/>
    <w:rsid w:val="00035CB3"/>
    <w:rsid w:val="0004917B"/>
    <w:rsid w:val="00096B16"/>
    <w:rsid w:val="000B006E"/>
    <w:rsid w:val="000B2B67"/>
    <w:rsid w:val="000B5B31"/>
    <w:rsid w:val="000D2E30"/>
    <w:rsid w:val="000D7D5A"/>
    <w:rsid w:val="00101379"/>
    <w:rsid w:val="00103135"/>
    <w:rsid w:val="0013006C"/>
    <w:rsid w:val="00132497"/>
    <w:rsid w:val="0013606C"/>
    <w:rsid w:val="00141014"/>
    <w:rsid w:val="00160958"/>
    <w:rsid w:val="001D44D9"/>
    <w:rsid w:val="001E4874"/>
    <w:rsid w:val="00203AD7"/>
    <w:rsid w:val="00203DFB"/>
    <w:rsid w:val="002266F7"/>
    <w:rsid w:val="00226C0C"/>
    <w:rsid w:val="0028C48E"/>
    <w:rsid w:val="002A1C25"/>
    <w:rsid w:val="002A7540"/>
    <w:rsid w:val="002B297F"/>
    <w:rsid w:val="002E4280"/>
    <w:rsid w:val="002F1A54"/>
    <w:rsid w:val="00315790"/>
    <w:rsid w:val="003165B3"/>
    <w:rsid w:val="003372B8"/>
    <w:rsid w:val="00367EBD"/>
    <w:rsid w:val="003D2D72"/>
    <w:rsid w:val="003D5E49"/>
    <w:rsid w:val="003F3645"/>
    <w:rsid w:val="00410123"/>
    <w:rsid w:val="004143C4"/>
    <w:rsid w:val="00434F3A"/>
    <w:rsid w:val="00447A10"/>
    <w:rsid w:val="00451566"/>
    <w:rsid w:val="00466C98"/>
    <w:rsid w:val="004A1720"/>
    <w:rsid w:val="004D3AE0"/>
    <w:rsid w:val="004D4ED6"/>
    <w:rsid w:val="004F36E3"/>
    <w:rsid w:val="004F5F9E"/>
    <w:rsid w:val="00501FC7"/>
    <w:rsid w:val="00504875"/>
    <w:rsid w:val="00510991"/>
    <w:rsid w:val="00525E6F"/>
    <w:rsid w:val="00531020"/>
    <w:rsid w:val="0055459A"/>
    <w:rsid w:val="005562B4"/>
    <w:rsid w:val="005601C2"/>
    <w:rsid w:val="00562F7B"/>
    <w:rsid w:val="00571824"/>
    <w:rsid w:val="005A2497"/>
    <w:rsid w:val="005D5CA2"/>
    <w:rsid w:val="0061045B"/>
    <w:rsid w:val="00646D02"/>
    <w:rsid w:val="00657A98"/>
    <w:rsid w:val="00667DDE"/>
    <w:rsid w:val="006717E1"/>
    <w:rsid w:val="006C5B02"/>
    <w:rsid w:val="00700328"/>
    <w:rsid w:val="0070760A"/>
    <w:rsid w:val="00726474"/>
    <w:rsid w:val="00762538"/>
    <w:rsid w:val="0079F725"/>
    <w:rsid w:val="007B19D7"/>
    <w:rsid w:val="007B2A29"/>
    <w:rsid w:val="007B43EF"/>
    <w:rsid w:val="007C5A82"/>
    <w:rsid w:val="007C6A50"/>
    <w:rsid w:val="007D2E09"/>
    <w:rsid w:val="007F32C3"/>
    <w:rsid w:val="00822A2B"/>
    <w:rsid w:val="00843326"/>
    <w:rsid w:val="008504F9"/>
    <w:rsid w:val="00852A5F"/>
    <w:rsid w:val="00897E70"/>
    <w:rsid w:val="0089872B"/>
    <w:rsid w:val="008D1FCC"/>
    <w:rsid w:val="008E2BFB"/>
    <w:rsid w:val="008F02D8"/>
    <w:rsid w:val="00914F5B"/>
    <w:rsid w:val="00931CD6"/>
    <w:rsid w:val="00966D97"/>
    <w:rsid w:val="0097559A"/>
    <w:rsid w:val="009B0A98"/>
    <w:rsid w:val="009B6FB4"/>
    <w:rsid w:val="009C2E16"/>
    <w:rsid w:val="009E688F"/>
    <w:rsid w:val="00A1357B"/>
    <w:rsid w:val="00A231D3"/>
    <w:rsid w:val="00A2AC55"/>
    <w:rsid w:val="00A3756D"/>
    <w:rsid w:val="00A52986"/>
    <w:rsid w:val="00AF76B7"/>
    <w:rsid w:val="00B05F48"/>
    <w:rsid w:val="00B42CDF"/>
    <w:rsid w:val="00B47CE4"/>
    <w:rsid w:val="00B50DAA"/>
    <w:rsid w:val="00B62AFE"/>
    <w:rsid w:val="00B63C3A"/>
    <w:rsid w:val="00B6512A"/>
    <w:rsid w:val="00B713CA"/>
    <w:rsid w:val="00B95AB9"/>
    <w:rsid w:val="00BB0769"/>
    <w:rsid w:val="00BBAF97"/>
    <w:rsid w:val="00BC3575"/>
    <w:rsid w:val="00BC7856"/>
    <w:rsid w:val="00BE2546"/>
    <w:rsid w:val="00BF72E0"/>
    <w:rsid w:val="00C10771"/>
    <w:rsid w:val="00C12C17"/>
    <w:rsid w:val="00C7404D"/>
    <w:rsid w:val="00C8194B"/>
    <w:rsid w:val="00C84EAC"/>
    <w:rsid w:val="00C945BD"/>
    <w:rsid w:val="00CB0F1B"/>
    <w:rsid w:val="00CB5E87"/>
    <w:rsid w:val="00CD6098"/>
    <w:rsid w:val="00CE0A62"/>
    <w:rsid w:val="00CE1ABB"/>
    <w:rsid w:val="00CF25B6"/>
    <w:rsid w:val="00D00560"/>
    <w:rsid w:val="00D0647E"/>
    <w:rsid w:val="00D268AC"/>
    <w:rsid w:val="00D30D98"/>
    <w:rsid w:val="00D43BC2"/>
    <w:rsid w:val="00D64E6A"/>
    <w:rsid w:val="00D70A4A"/>
    <w:rsid w:val="00DA36DD"/>
    <w:rsid w:val="00DA6821"/>
    <w:rsid w:val="00DD3FF0"/>
    <w:rsid w:val="00E00CE0"/>
    <w:rsid w:val="00E075B1"/>
    <w:rsid w:val="00E11B80"/>
    <w:rsid w:val="00E14338"/>
    <w:rsid w:val="00E14520"/>
    <w:rsid w:val="00E158F6"/>
    <w:rsid w:val="00E26063"/>
    <w:rsid w:val="00E72F35"/>
    <w:rsid w:val="00E77788"/>
    <w:rsid w:val="00E83919"/>
    <w:rsid w:val="00EC2165"/>
    <w:rsid w:val="00EE3827"/>
    <w:rsid w:val="00EE5F00"/>
    <w:rsid w:val="00EF3CD4"/>
    <w:rsid w:val="00F05DC3"/>
    <w:rsid w:val="00F140C7"/>
    <w:rsid w:val="00F160D6"/>
    <w:rsid w:val="00F34977"/>
    <w:rsid w:val="00F41F5B"/>
    <w:rsid w:val="00F81BD4"/>
    <w:rsid w:val="00F94336"/>
    <w:rsid w:val="00F96960"/>
    <w:rsid w:val="00FB4D21"/>
    <w:rsid w:val="00FC41FF"/>
    <w:rsid w:val="00FC56E0"/>
    <w:rsid w:val="00FE78DD"/>
    <w:rsid w:val="00FF391C"/>
    <w:rsid w:val="00FF6CFF"/>
    <w:rsid w:val="0103121C"/>
    <w:rsid w:val="0126512B"/>
    <w:rsid w:val="018F2735"/>
    <w:rsid w:val="01920B08"/>
    <w:rsid w:val="01C494EF"/>
    <w:rsid w:val="01D1144E"/>
    <w:rsid w:val="01D6FEB6"/>
    <w:rsid w:val="0209D9EA"/>
    <w:rsid w:val="0254896A"/>
    <w:rsid w:val="02611BC7"/>
    <w:rsid w:val="0292E096"/>
    <w:rsid w:val="030770EA"/>
    <w:rsid w:val="0369EB1A"/>
    <w:rsid w:val="039E4AD8"/>
    <w:rsid w:val="03A41857"/>
    <w:rsid w:val="03AD1022"/>
    <w:rsid w:val="03E04C21"/>
    <w:rsid w:val="03E1910A"/>
    <w:rsid w:val="03FF5690"/>
    <w:rsid w:val="043F91BF"/>
    <w:rsid w:val="04527FD0"/>
    <w:rsid w:val="0453C1DA"/>
    <w:rsid w:val="04AC6920"/>
    <w:rsid w:val="04BE893D"/>
    <w:rsid w:val="04BF571D"/>
    <w:rsid w:val="04D203A0"/>
    <w:rsid w:val="04E97813"/>
    <w:rsid w:val="0505F9BA"/>
    <w:rsid w:val="0524B7AB"/>
    <w:rsid w:val="052B83D6"/>
    <w:rsid w:val="05473266"/>
    <w:rsid w:val="0559F939"/>
    <w:rsid w:val="0561BAB3"/>
    <w:rsid w:val="0563F94F"/>
    <w:rsid w:val="05733D8B"/>
    <w:rsid w:val="05840B9C"/>
    <w:rsid w:val="0593DE18"/>
    <w:rsid w:val="05D349F7"/>
    <w:rsid w:val="05DA9214"/>
    <w:rsid w:val="05EFF0D4"/>
    <w:rsid w:val="05F6851C"/>
    <w:rsid w:val="05F928B5"/>
    <w:rsid w:val="06353D9F"/>
    <w:rsid w:val="064B9CFD"/>
    <w:rsid w:val="06827319"/>
    <w:rsid w:val="068AB4B6"/>
    <w:rsid w:val="06F324E9"/>
    <w:rsid w:val="071308D7"/>
    <w:rsid w:val="0753DB1D"/>
    <w:rsid w:val="075CF0AF"/>
    <w:rsid w:val="076795F2"/>
    <w:rsid w:val="07C98E83"/>
    <w:rsid w:val="0869487A"/>
    <w:rsid w:val="089B0306"/>
    <w:rsid w:val="08DB281A"/>
    <w:rsid w:val="093C1CE1"/>
    <w:rsid w:val="0951FD75"/>
    <w:rsid w:val="09700093"/>
    <w:rsid w:val="09B2D2B7"/>
    <w:rsid w:val="09D3DCE1"/>
    <w:rsid w:val="09F3D1FD"/>
    <w:rsid w:val="0A0C0012"/>
    <w:rsid w:val="0A14154A"/>
    <w:rsid w:val="0A14EBCF"/>
    <w:rsid w:val="0A1849DD"/>
    <w:rsid w:val="0A34E412"/>
    <w:rsid w:val="0A3856F7"/>
    <w:rsid w:val="0A453360"/>
    <w:rsid w:val="0A45A914"/>
    <w:rsid w:val="0A83B971"/>
    <w:rsid w:val="0A8DA79D"/>
    <w:rsid w:val="0A9790BB"/>
    <w:rsid w:val="0A9BFBFF"/>
    <w:rsid w:val="0A9F36B4"/>
    <w:rsid w:val="0AF6A9A2"/>
    <w:rsid w:val="0B04466C"/>
    <w:rsid w:val="0B1F14C8"/>
    <w:rsid w:val="0B251CCF"/>
    <w:rsid w:val="0B55ECF9"/>
    <w:rsid w:val="0B58B997"/>
    <w:rsid w:val="0B59E267"/>
    <w:rsid w:val="0B5D3B53"/>
    <w:rsid w:val="0B62864F"/>
    <w:rsid w:val="0B91B56E"/>
    <w:rsid w:val="0BD26639"/>
    <w:rsid w:val="0C2CE8CF"/>
    <w:rsid w:val="0C3A0048"/>
    <w:rsid w:val="0C65C6A0"/>
    <w:rsid w:val="0C6D1E0B"/>
    <w:rsid w:val="0C787355"/>
    <w:rsid w:val="0C7CBD0B"/>
    <w:rsid w:val="0C7F51F6"/>
    <w:rsid w:val="0C9E6635"/>
    <w:rsid w:val="0CD379C4"/>
    <w:rsid w:val="0D3F51D0"/>
    <w:rsid w:val="0D6E7429"/>
    <w:rsid w:val="0D89B17D"/>
    <w:rsid w:val="0D98CF51"/>
    <w:rsid w:val="0DCB4E13"/>
    <w:rsid w:val="0DD10634"/>
    <w:rsid w:val="0DE93EC8"/>
    <w:rsid w:val="0DEA847C"/>
    <w:rsid w:val="0DF2823B"/>
    <w:rsid w:val="0DF34181"/>
    <w:rsid w:val="0DFA0582"/>
    <w:rsid w:val="0E127633"/>
    <w:rsid w:val="0E1B2257"/>
    <w:rsid w:val="0E3D57E0"/>
    <w:rsid w:val="0E607D84"/>
    <w:rsid w:val="0E63E313"/>
    <w:rsid w:val="0E64A51B"/>
    <w:rsid w:val="0E71BE8F"/>
    <w:rsid w:val="0E79C185"/>
    <w:rsid w:val="0E905A59"/>
    <w:rsid w:val="0EA44E71"/>
    <w:rsid w:val="0EAA7BF8"/>
    <w:rsid w:val="0ED084FC"/>
    <w:rsid w:val="0EDAE82F"/>
    <w:rsid w:val="0EE197A1"/>
    <w:rsid w:val="0EE41F1D"/>
    <w:rsid w:val="0EF86138"/>
    <w:rsid w:val="0F0139DF"/>
    <w:rsid w:val="0F065521"/>
    <w:rsid w:val="0F1379E6"/>
    <w:rsid w:val="0F40554D"/>
    <w:rsid w:val="0F5AD99B"/>
    <w:rsid w:val="0F613180"/>
    <w:rsid w:val="0F6CF202"/>
    <w:rsid w:val="0F7C935A"/>
    <w:rsid w:val="0F96C47C"/>
    <w:rsid w:val="0FC78F60"/>
    <w:rsid w:val="0FDD1BA3"/>
    <w:rsid w:val="102C2ABA"/>
    <w:rsid w:val="1047A93E"/>
    <w:rsid w:val="104D09F4"/>
    <w:rsid w:val="10582142"/>
    <w:rsid w:val="10BBC7B9"/>
    <w:rsid w:val="10BF13AE"/>
    <w:rsid w:val="10E5819E"/>
    <w:rsid w:val="111665BE"/>
    <w:rsid w:val="111DC99F"/>
    <w:rsid w:val="112A1FA3"/>
    <w:rsid w:val="11317FA4"/>
    <w:rsid w:val="11529C8E"/>
    <w:rsid w:val="1156D2CC"/>
    <w:rsid w:val="1161EA1B"/>
    <w:rsid w:val="1176841A"/>
    <w:rsid w:val="119E008C"/>
    <w:rsid w:val="11B06C5A"/>
    <w:rsid w:val="11B0F8D7"/>
    <w:rsid w:val="11D3B40A"/>
    <w:rsid w:val="11D594DD"/>
    <w:rsid w:val="11E24B35"/>
    <w:rsid w:val="11F04496"/>
    <w:rsid w:val="1206D557"/>
    <w:rsid w:val="120B2F3C"/>
    <w:rsid w:val="120CAF1C"/>
    <w:rsid w:val="12138F11"/>
    <w:rsid w:val="1213D259"/>
    <w:rsid w:val="121F0B29"/>
    <w:rsid w:val="12254702"/>
    <w:rsid w:val="122B2567"/>
    <w:rsid w:val="1238FC9D"/>
    <w:rsid w:val="124368DC"/>
    <w:rsid w:val="125C09C8"/>
    <w:rsid w:val="12905CEB"/>
    <w:rsid w:val="12DFF281"/>
    <w:rsid w:val="12F1E040"/>
    <w:rsid w:val="12FA984A"/>
    <w:rsid w:val="1331CAC1"/>
    <w:rsid w:val="1338C8BA"/>
    <w:rsid w:val="1352B76A"/>
    <w:rsid w:val="1360BD84"/>
    <w:rsid w:val="13749292"/>
    <w:rsid w:val="137E1B96"/>
    <w:rsid w:val="1380BBDD"/>
    <w:rsid w:val="13811BF9"/>
    <w:rsid w:val="13A87F7D"/>
    <w:rsid w:val="13B82C4F"/>
    <w:rsid w:val="13BA61E9"/>
    <w:rsid w:val="13E36D63"/>
    <w:rsid w:val="1428BFAA"/>
    <w:rsid w:val="14317089"/>
    <w:rsid w:val="144E0680"/>
    <w:rsid w:val="147DB1F3"/>
    <w:rsid w:val="1484C134"/>
    <w:rsid w:val="14985526"/>
    <w:rsid w:val="14B1E64D"/>
    <w:rsid w:val="14E9FC37"/>
    <w:rsid w:val="14F014F0"/>
    <w:rsid w:val="14F04FC1"/>
    <w:rsid w:val="1511CBBA"/>
    <w:rsid w:val="153C42E4"/>
    <w:rsid w:val="1550B73B"/>
    <w:rsid w:val="155EE264"/>
    <w:rsid w:val="1582D8FA"/>
    <w:rsid w:val="1592FC15"/>
    <w:rsid w:val="15BF7FE5"/>
    <w:rsid w:val="15C7FDAD"/>
    <w:rsid w:val="15E892A8"/>
    <w:rsid w:val="165026C6"/>
    <w:rsid w:val="166C8E33"/>
    <w:rsid w:val="16733079"/>
    <w:rsid w:val="169B6C3E"/>
    <w:rsid w:val="169D5DA8"/>
    <w:rsid w:val="16AB6755"/>
    <w:rsid w:val="16B5BC58"/>
    <w:rsid w:val="170A456A"/>
    <w:rsid w:val="1716528E"/>
    <w:rsid w:val="171DDB00"/>
    <w:rsid w:val="173433C7"/>
    <w:rsid w:val="1763010B"/>
    <w:rsid w:val="176C7EE5"/>
    <w:rsid w:val="17822CCF"/>
    <w:rsid w:val="17A7D589"/>
    <w:rsid w:val="17E5C59E"/>
    <w:rsid w:val="17EBF65A"/>
    <w:rsid w:val="183569D5"/>
    <w:rsid w:val="185AC3A6"/>
    <w:rsid w:val="186FE807"/>
    <w:rsid w:val="18801D22"/>
    <w:rsid w:val="18B2AA60"/>
    <w:rsid w:val="18C295AE"/>
    <w:rsid w:val="18D33C7A"/>
    <w:rsid w:val="18D7D897"/>
    <w:rsid w:val="19084F46"/>
    <w:rsid w:val="190B5C45"/>
    <w:rsid w:val="190FBD56"/>
    <w:rsid w:val="192177A3"/>
    <w:rsid w:val="1964753F"/>
    <w:rsid w:val="19AD0A1F"/>
    <w:rsid w:val="19B349BC"/>
    <w:rsid w:val="19C39D09"/>
    <w:rsid w:val="19CFFF08"/>
    <w:rsid w:val="19EF453B"/>
    <w:rsid w:val="19F45A0F"/>
    <w:rsid w:val="1A5CBAFB"/>
    <w:rsid w:val="1A65295B"/>
    <w:rsid w:val="1A660EB9"/>
    <w:rsid w:val="1A69B681"/>
    <w:rsid w:val="1A947BCC"/>
    <w:rsid w:val="1ABD4804"/>
    <w:rsid w:val="1AC45A1A"/>
    <w:rsid w:val="1B12F2DF"/>
    <w:rsid w:val="1B1D6660"/>
    <w:rsid w:val="1B1ED28C"/>
    <w:rsid w:val="1B2127D1"/>
    <w:rsid w:val="1B51A3DE"/>
    <w:rsid w:val="1B5F5674"/>
    <w:rsid w:val="1B612FDB"/>
    <w:rsid w:val="1B6F8A44"/>
    <w:rsid w:val="1B830AEF"/>
    <w:rsid w:val="1B9070F7"/>
    <w:rsid w:val="1BB067EC"/>
    <w:rsid w:val="1BB42057"/>
    <w:rsid w:val="1BBF5E0D"/>
    <w:rsid w:val="1BD89372"/>
    <w:rsid w:val="1BF14C23"/>
    <w:rsid w:val="1BFB5510"/>
    <w:rsid w:val="1C14644E"/>
    <w:rsid w:val="1C2A7502"/>
    <w:rsid w:val="1C424972"/>
    <w:rsid w:val="1C7BEA6A"/>
    <w:rsid w:val="1C87EEBE"/>
    <w:rsid w:val="1C8BC47B"/>
    <w:rsid w:val="1C90436A"/>
    <w:rsid w:val="1CA97661"/>
    <w:rsid w:val="1CB936C1"/>
    <w:rsid w:val="1CBCA46B"/>
    <w:rsid w:val="1CE3DA29"/>
    <w:rsid w:val="1D06118D"/>
    <w:rsid w:val="1D0FBD6D"/>
    <w:rsid w:val="1D210AE4"/>
    <w:rsid w:val="1D3A91F8"/>
    <w:rsid w:val="1D3E80F0"/>
    <w:rsid w:val="1D491E5B"/>
    <w:rsid w:val="1D5620A7"/>
    <w:rsid w:val="1D568500"/>
    <w:rsid w:val="1D7DA460"/>
    <w:rsid w:val="1D872D23"/>
    <w:rsid w:val="1D8D1C84"/>
    <w:rsid w:val="1DA15743"/>
    <w:rsid w:val="1DB0E21D"/>
    <w:rsid w:val="1DB195F7"/>
    <w:rsid w:val="1DB23DE9"/>
    <w:rsid w:val="1E0D1BC2"/>
    <w:rsid w:val="1E202A80"/>
    <w:rsid w:val="1E8D5E80"/>
    <w:rsid w:val="1E9AEC6A"/>
    <w:rsid w:val="1EAE6BA9"/>
    <w:rsid w:val="1EC4478F"/>
    <w:rsid w:val="1ED74886"/>
    <w:rsid w:val="1EF1F181"/>
    <w:rsid w:val="1F563629"/>
    <w:rsid w:val="1F74840B"/>
    <w:rsid w:val="1F83A842"/>
    <w:rsid w:val="1F8DE322"/>
    <w:rsid w:val="1FAB43AE"/>
    <w:rsid w:val="1FB49725"/>
    <w:rsid w:val="1FE66402"/>
    <w:rsid w:val="1FF498F4"/>
    <w:rsid w:val="2033806B"/>
    <w:rsid w:val="203FFC11"/>
    <w:rsid w:val="2048DC57"/>
    <w:rsid w:val="2052AA85"/>
    <w:rsid w:val="2057F7E8"/>
    <w:rsid w:val="207D09B8"/>
    <w:rsid w:val="20DBF57E"/>
    <w:rsid w:val="211B42C6"/>
    <w:rsid w:val="21380C85"/>
    <w:rsid w:val="2164D405"/>
    <w:rsid w:val="21653A08"/>
    <w:rsid w:val="216C33A9"/>
    <w:rsid w:val="217B4886"/>
    <w:rsid w:val="217DA287"/>
    <w:rsid w:val="21878DE7"/>
    <w:rsid w:val="21941EF8"/>
    <w:rsid w:val="222F50B0"/>
    <w:rsid w:val="22432C5E"/>
    <w:rsid w:val="22581CE3"/>
    <w:rsid w:val="22589F55"/>
    <w:rsid w:val="22644650"/>
    <w:rsid w:val="22B296D2"/>
    <w:rsid w:val="22BF17D8"/>
    <w:rsid w:val="22FC8538"/>
    <w:rsid w:val="230A2D38"/>
    <w:rsid w:val="2365712C"/>
    <w:rsid w:val="23751644"/>
    <w:rsid w:val="2380C98F"/>
    <w:rsid w:val="23A70DC2"/>
    <w:rsid w:val="23C380BD"/>
    <w:rsid w:val="24023058"/>
    <w:rsid w:val="24177881"/>
    <w:rsid w:val="242F5D7D"/>
    <w:rsid w:val="2453B23C"/>
    <w:rsid w:val="245767F7"/>
    <w:rsid w:val="246A8A90"/>
    <w:rsid w:val="2537FD47"/>
    <w:rsid w:val="2548413B"/>
    <w:rsid w:val="257E1E68"/>
    <w:rsid w:val="258A493D"/>
    <w:rsid w:val="258D0C48"/>
    <w:rsid w:val="25D8E6A2"/>
    <w:rsid w:val="26010701"/>
    <w:rsid w:val="262FEC8A"/>
    <w:rsid w:val="264CE083"/>
    <w:rsid w:val="26509B73"/>
    <w:rsid w:val="269EACE5"/>
    <w:rsid w:val="26B97D8E"/>
    <w:rsid w:val="2706658C"/>
    <w:rsid w:val="272C7658"/>
    <w:rsid w:val="27300080"/>
    <w:rsid w:val="274B255E"/>
    <w:rsid w:val="274DC42A"/>
    <w:rsid w:val="27B021E3"/>
    <w:rsid w:val="27FDEACC"/>
    <w:rsid w:val="280614CF"/>
    <w:rsid w:val="28223D71"/>
    <w:rsid w:val="2888FD1D"/>
    <w:rsid w:val="289937A7"/>
    <w:rsid w:val="28BB4B74"/>
    <w:rsid w:val="28C1E9FF"/>
    <w:rsid w:val="28C6AE90"/>
    <w:rsid w:val="28DDBFE0"/>
    <w:rsid w:val="28F95CB7"/>
    <w:rsid w:val="2954E282"/>
    <w:rsid w:val="29575634"/>
    <w:rsid w:val="296D3BC3"/>
    <w:rsid w:val="298002EA"/>
    <w:rsid w:val="298032DB"/>
    <w:rsid w:val="299FA74F"/>
    <w:rsid w:val="29CC7C6B"/>
    <w:rsid w:val="29EE1058"/>
    <w:rsid w:val="2A350808"/>
    <w:rsid w:val="2A3F912C"/>
    <w:rsid w:val="2A67B1CB"/>
    <w:rsid w:val="2A87E293"/>
    <w:rsid w:val="2AB95F85"/>
    <w:rsid w:val="2ABA3665"/>
    <w:rsid w:val="2ABB8A0E"/>
    <w:rsid w:val="2ADC3288"/>
    <w:rsid w:val="2ADEA891"/>
    <w:rsid w:val="2B218C79"/>
    <w:rsid w:val="2B28A3F1"/>
    <w:rsid w:val="2B7E00A2"/>
    <w:rsid w:val="2B91706D"/>
    <w:rsid w:val="2BCBC8ED"/>
    <w:rsid w:val="2BF98AC1"/>
    <w:rsid w:val="2C349154"/>
    <w:rsid w:val="2C5613D2"/>
    <w:rsid w:val="2C80EE12"/>
    <w:rsid w:val="2C8DD5A9"/>
    <w:rsid w:val="2CB7D39D"/>
    <w:rsid w:val="2CDA8211"/>
    <w:rsid w:val="2D28BF12"/>
    <w:rsid w:val="2D6CA8CA"/>
    <w:rsid w:val="2D79FE6F"/>
    <w:rsid w:val="2D9238F0"/>
    <w:rsid w:val="2DFD4F99"/>
    <w:rsid w:val="2E2E0016"/>
    <w:rsid w:val="2E3F0108"/>
    <w:rsid w:val="2E43B79A"/>
    <w:rsid w:val="2E465CB8"/>
    <w:rsid w:val="2E52A3C2"/>
    <w:rsid w:val="2E58E3D6"/>
    <w:rsid w:val="2E731872"/>
    <w:rsid w:val="2E755653"/>
    <w:rsid w:val="2E765272"/>
    <w:rsid w:val="2E8C5503"/>
    <w:rsid w:val="2EA3FAFF"/>
    <w:rsid w:val="2F3B181B"/>
    <w:rsid w:val="2F43FCB7"/>
    <w:rsid w:val="2F87B596"/>
    <w:rsid w:val="2F99C7A6"/>
    <w:rsid w:val="2FDE0445"/>
    <w:rsid w:val="2FE1EF1E"/>
    <w:rsid w:val="2FEE7423"/>
    <w:rsid w:val="300363C2"/>
    <w:rsid w:val="3023E548"/>
    <w:rsid w:val="305D51DC"/>
    <w:rsid w:val="3061FE03"/>
    <w:rsid w:val="307FEBA4"/>
    <w:rsid w:val="30AC3712"/>
    <w:rsid w:val="30D25710"/>
    <w:rsid w:val="30DB4624"/>
    <w:rsid w:val="30E43956"/>
    <w:rsid w:val="30E6DA18"/>
    <w:rsid w:val="31173440"/>
    <w:rsid w:val="31410A03"/>
    <w:rsid w:val="31473A72"/>
    <w:rsid w:val="31526416"/>
    <w:rsid w:val="31A045B3"/>
    <w:rsid w:val="31A2E9A6"/>
    <w:rsid w:val="31A649D9"/>
    <w:rsid w:val="31FDCE64"/>
    <w:rsid w:val="3230F12B"/>
    <w:rsid w:val="32407610"/>
    <w:rsid w:val="326C7095"/>
    <w:rsid w:val="3282AA79"/>
    <w:rsid w:val="328AC1B8"/>
    <w:rsid w:val="32CFD928"/>
    <w:rsid w:val="32D95A54"/>
    <w:rsid w:val="32F5FE4E"/>
    <w:rsid w:val="333C1614"/>
    <w:rsid w:val="334A286D"/>
    <w:rsid w:val="334A4B06"/>
    <w:rsid w:val="334F4202"/>
    <w:rsid w:val="3350B4FC"/>
    <w:rsid w:val="33628517"/>
    <w:rsid w:val="33BDB275"/>
    <w:rsid w:val="342ED32D"/>
    <w:rsid w:val="3430FD30"/>
    <w:rsid w:val="3442D59E"/>
    <w:rsid w:val="3461A198"/>
    <w:rsid w:val="34729B2C"/>
    <w:rsid w:val="34803445"/>
    <w:rsid w:val="34835EDE"/>
    <w:rsid w:val="34D1B56F"/>
    <w:rsid w:val="34E6FBEE"/>
    <w:rsid w:val="34EC855D"/>
    <w:rsid w:val="34FA6CD6"/>
    <w:rsid w:val="3515F344"/>
    <w:rsid w:val="3544E90E"/>
    <w:rsid w:val="3554A567"/>
    <w:rsid w:val="35AEB747"/>
    <w:rsid w:val="35CCF489"/>
    <w:rsid w:val="35F3F809"/>
    <w:rsid w:val="35FF030E"/>
    <w:rsid w:val="36005E0A"/>
    <w:rsid w:val="361F2F3F"/>
    <w:rsid w:val="3624A74E"/>
    <w:rsid w:val="36363FF3"/>
    <w:rsid w:val="363A688B"/>
    <w:rsid w:val="3640897C"/>
    <w:rsid w:val="365522C0"/>
    <w:rsid w:val="36686A6B"/>
    <w:rsid w:val="366A462F"/>
    <w:rsid w:val="367E9A80"/>
    <w:rsid w:val="3696CA70"/>
    <w:rsid w:val="36AB8EA8"/>
    <w:rsid w:val="36E24254"/>
    <w:rsid w:val="36F0B90B"/>
    <w:rsid w:val="37339E63"/>
    <w:rsid w:val="37664AD9"/>
    <w:rsid w:val="3798175C"/>
    <w:rsid w:val="37EFC8A3"/>
    <w:rsid w:val="37F88CFA"/>
    <w:rsid w:val="381D34B8"/>
    <w:rsid w:val="3824261F"/>
    <w:rsid w:val="3838F7E9"/>
    <w:rsid w:val="385187DB"/>
    <w:rsid w:val="38575ADE"/>
    <w:rsid w:val="3862397F"/>
    <w:rsid w:val="3886DA70"/>
    <w:rsid w:val="38B748F7"/>
    <w:rsid w:val="38C539EC"/>
    <w:rsid w:val="38C5FEBF"/>
    <w:rsid w:val="38C8CDEB"/>
    <w:rsid w:val="38F09E28"/>
    <w:rsid w:val="3909623F"/>
    <w:rsid w:val="3914B4A8"/>
    <w:rsid w:val="3991DB47"/>
    <w:rsid w:val="39C9BD16"/>
    <w:rsid w:val="39D4C84A"/>
    <w:rsid w:val="39DD749D"/>
    <w:rsid w:val="3A044435"/>
    <w:rsid w:val="3A335CB3"/>
    <w:rsid w:val="3A4B1DD9"/>
    <w:rsid w:val="3AB4DCC0"/>
    <w:rsid w:val="3AE56A1F"/>
    <w:rsid w:val="3B0BBB96"/>
    <w:rsid w:val="3B2D5523"/>
    <w:rsid w:val="3B3DF0F8"/>
    <w:rsid w:val="3B5279CB"/>
    <w:rsid w:val="3B8989D9"/>
    <w:rsid w:val="3BC41D22"/>
    <w:rsid w:val="3C06F288"/>
    <w:rsid w:val="3C179C11"/>
    <w:rsid w:val="3C1851E8"/>
    <w:rsid w:val="3C1D17AB"/>
    <w:rsid w:val="3C54352C"/>
    <w:rsid w:val="3C93F8F6"/>
    <w:rsid w:val="3C9872D6"/>
    <w:rsid w:val="3CA40D5F"/>
    <w:rsid w:val="3CA6FCEA"/>
    <w:rsid w:val="3CC84921"/>
    <w:rsid w:val="3D5D4203"/>
    <w:rsid w:val="3D994673"/>
    <w:rsid w:val="3DA3A9E4"/>
    <w:rsid w:val="3DB975C2"/>
    <w:rsid w:val="3DD9BA14"/>
    <w:rsid w:val="3DDE6713"/>
    <w:rsid w:val="3DE7DB3D"/>
    <w:rsid w:val="3E1EE9B4"/>
    <w:rsid w:val="3E2470EF"/>
    <w:rsid w:val="3E31E44E"/>
    <w:rsid w:val="3E368CCD"/>
    <w:rsid w:val="3E68CB4E"/>
    <w:rsid w:val="3E893C3C"/>
    <w:rsid w:val="3E9463C2"/>
    <w:rsid w:val="3EB68AD0"/>
    <w:rsid w:val="3ECC8735"/>
    <w:rsid w:val="3EE76409"/>
    <w:rsid w:val="3EF53B38"/>
    <w:rsid w:val="3EF96B26"/>
    <w:rsid w:val="3F2D4D3F"/>
    <w:rsid w:val="3F3AEBE7"/>
    <w:rsid w:val="3F5CEE3A"/>
    <w:rsid w:val="3F5D5A7F"/>
    <w:rsid w:val="3F867ABA"/>
    <w:rsid w:val="401031B8"/>
    <w:rsid w:val="40303423"/>
    <w:rsid w:val="4040A519"/>
    <w:rsid w:val="404538BE"/>
    <w:rsid w:val="4055F00D"/>
    <w:rsid w:val="4077A406"/>
    <w:rsid w:val="407B57CE"/>
    <w:rsid w:val="40B4B5BF"/>
    <w:rsid w:val="40C91DA0"/>
    <w:rsid w:val="4110450D"/>
    <w:rsid w:val="41511E34"/>
    <w:rsid w:val="41559FF0"/>
    <w:rsid w:val="419A2D40"/>
    <w:rsid w:val="41AB7612"/>
    <w:rsid w:val="41D0653A"/>
    <w:rsid w:val="41DD3187"/>
    <w:rsid w:val="41F0203D"/>
    <w:rsid w:val="420D90F4"/>
    <w:rsid w:val="4233B17B"/>
    <w:rsid w:val="4234010D"/>
    <w:rsid w:val="424D9EFC"/>
    <w:rsid w:val="425BDC41"/>
    <w:rsid w:val="4273C469"/>
    <w:rsid w:val="429A4837"/>
    <w:rsid w:val="42A1A91D"/>
    <w:rsid w:val="42C1E428"/>
    <w:rsid w:val="42D9327A"/>
    <w:rsid w:val="42ECEE95"/>
    <w:rsid w:val="42F17051"/>
    <w:rsid w:val="42FCE9AC"/>
    <w:rsid w:val="42FF7D2A"/>
    <w:rsid w:val="430E40E6"/>
    <w:rsid w:val="4314A705"/>
    <w:rsid w:val="43438502"/>
    <w:rsid w:val="434F4860"/>
    <w:rsid w:val="4350288C"/>
    <w:rsid w:val="4374121F"/>
    <w:rsid w:val="437782C7"/>
    <w:rsid w:val="43959D65"/>
    <w:rsid w:val="4408A243"/>
    <w:rsid w:val="441F8BC4"/>
    <w:rsid w:val="4438AFC6"/>
    <w:rsid w:val="445DB489"/>
    <w:rsid w:val="447502DB"/>
    <w:rsid w:val="447CA999"/>
    <w:rsid w:val="448A5D25"/>
    <w:rsid w:val="44A04E65"/>
    <w:rsid w:val="44ADDC4F"/>
    <w:rsid w:val="44D49083"/>
    <w:rsid w:val="44DEDA91"/>
    <w:rsid w:val="450FE280"/>
    <w:rsid w:val="4551D70B"/>
    <w:rsid w:val="45557E8C"/>
    <w:rsid w:val="4585C9ED"/>
    <w:rsid w:val="4590F7BB"/>
    <w:rsid w:val="45961351"/>
    <w:rsid w:val="459A23F8"/>
    <w:rsid w:val="45B2A3A6"/>
    <w:rsid w:val="45C8A4D5"/>
    <w:rsid w:val="45DB9C2C"/>
    <w:rsid w:val="45EE1613"/>
    <w:rsid w:val="45F4F8F9"/>
    <w:rsid w:val="46244023"/>
    <w:rsid w:val="462555BE"/>
    <w:rsid w:val="462A7E08"/>
    <w:rsid w:val="462BABCF"/>
    <w:rsid w:val="464C326C"/>
    <w:rsid w:val="4674829B"/>
    <w:rsid w:val="46869EA4"/>
    <w:rsid w:val="46B88EE3"/>
    <w:rsid w:val="46D90C07"/>
    <w:rsid w:val="4722FE73"/>
    <w:rsid w:val="4728457B"/>
    <w:rsid w:val="4730F8A2"/>
    <w:rsid w:val="475B048F"/>
    <w:rsid w:val="477402FA"/>
    <w:rsid w:val="477F34E8"/>
    <w:rsid w:val="47AEBB2E"/>
    <w:rsid w:val="47B36233"/>
    <w:rsid w:val="47FB5191"/>
    <w:rsid w:val="47FF752C"/>
    <w:rsid w:val="4806EC93"/>
    <w:rsid w:val="48505995"/>
    <w:rsid w:val="48815C7A"/>
    <w:rsid w:val="48920B80"/>
    <w:rsid w:val="48ABAE28"/>
    <w:rsid w:val="48B62936"/>
    <w:rsid w:val="49133CEE"/>
    <w:rsid w:val="49234478"/>
    <w:rsid w:val="495501EE"/>
    <w:rsid w:val="496669C8"/>
    <w:rsid w:val="4984BC1A"/>
    <w:rsid w:val="49A6EA1E"/>
    <w:rsid w:val="49C24EC2"/>
    <w:rsid w:val="4A1794A6"/>
    <w:rsid w:val="4A34700F"/>
    <w:rsid w:val="4A7F1B9D"/>
    <w:rsid w:val="4AA76A2A"/>
    <w:rsid w:val="4AB14BEB"/>
    <w:rsid w:val="4AC31938"/>
    <w:rsid w:val="4AF21FD5"/>
    <w:rsid w:val="4AF4F999"/>
    <w:rsid w:val="4B0ACEA5"/>
    <w:rsid w:val="4B3C62BC"/>
    <w:rsid w:val="4B3D4370"/>
    <w:rsid w:val="4B58C24E"/>
    <w:rsid w:val="4B785EF5"/>
    <w:rsid w:val="4B93F8CF"/>
    <w:rsid w:val="4BA61A51"/>
    <w:rsid w:val="4BB882A8"/>
    <w:rsid w:val="4BC4FC3B"/>
    <w:rsid w:val="4BC91321"/>
    <w:rsid w:val="4BC9AD8B"/>
    <w:rsid w:val="4BD9CE97"/>
    <w:rsid w:val="4BDEDB18"/>
    <w:rsid w:val="4BF8BE94"/>
    <w:rsid w:val="4C21652E"/>
    <w:rsid w:val="4C2D2811"/>
    <w:rsid w:val="4C30C4F4"/>
    <w:rsid w:val="4C3DA428"/>
    <w:rsid w:val="4C52CC71"/>
    <w:rsid w:val="4C6C815D"/>
    <w:rsid w:val="4C7A86F2"/>
    <w:rsid w:val="4CA69F06"/>
    <w:rsid w:val="4CA6F8CB"/>
    <w:rsid w:val="4CAD2902"/>
    <w:rsid w:val="4CB8A586"/>
    <w:rsid w:val="4CB902B2"/>
    <w:rsid w:val="4CBA8AF4"/>
    <w:rsid w:val="4CCA9BC2"/>
    <w:rsid w:val="4CD76D0A"/>
    <w:rsid w:val="4CE30E67"/>
    <w:rsid w:val="4CF5BD3F"/>
    <w:rsid w:val="4CF6163F"/>
    <w:rsid w:val="4CFD1740"/>
    <w:rsid w:val="4D0C5B7C"/>
    <w:rsid w:val="4D0CF688"/>
    <w:rsid w:val="4D5171DD"/>
    <w:rsid w:val="4D7C9A8B"/>
    <w:rsid w:val="4D8112A1"/>
    <w:rsid w:val="4D9D15B1"/>
    <w:rsid w:val="4DC28252"/>
    <w:rsid w:val="4DCC9555"/>
    <w:rsid w:val="4E05D2F7"/>
    <w:rsid w:val="4E2B0BFD"/>
    <w:rsid w:val="4E2D4D24"/>
    <w:rsid w:val="4E533996"/>
    <w:rsid w:val="4E733D6B"/>
    <w:rsid w:val="4E8B408A"/>
    <w:rsid w:val="4E918DA0"/>
    <w:rsid w:val="4E9B5EBD"/>
    <w:rsid w:val="4EACBCFD"/>
    <w:rsid w:val="4ECAE76E"/>
    <w:rsid w:val="4F4974BA"/>
    <w:rsid w:val="4F6865B6"/>
    <w:rsid w:val="4F760B81"/>
    <w:rsid w:val="4FBB9749"/>
    <w:rsid w:val="4FE610B9"/>
    <w:rsid w:val="50150314"/>
    <w:rsid w:val="503B86D9"/>
    <w:rsid w:val="5049D603"/>
    <w:rsid w:val="5054332B"/>
    <w:rsid w:val="507AE9BD"/>
    <w:rsid w:val="5097F616"/>
    <w:rsid w:val="509FA174"/>
    <w:rsid w:val="50DC2E65"/>
    <w:rsid w:val="50FC85E6"/>
    <w:rsid w:val="510BE539"/>
    <w:rsid w:val="51113CF8"/>
    <w:rsid w:val="516234BC"/>
    <w:rsid w:val="5174A538"/>
    <w:rsid w:val="51936AC6"/>
    <w:rsid w:val="51964F39"/>
    <w:rsid w:val="51A2C40C"/>
    <w:rsid w:val="51B074E8"/>
    <w:rsid w:val="51DBCB94"/>
    <w:rsid w:val="51E2284E"/>
    <w:rsid w:val="51E7DDA2"/>
    <w:rsid w:val="51F69544"/>
    <w:rsid w:val="52063004"/>
    <w:rsid w:val="52246A8C"/>
    <w:rsid w:val="523DA982"/>
    <w:rsid w:val="52401242"/>
    <w:rsid w:val="5242BC59"/>
    <w:rsid w:val="52493A21"/>
    <w:rsid w:val="527BC9F2"/>
    <w:rsid w:val="528088E6"/>
    <w:rsid w:val="529EEEA9"/>
    <w:rsid w:val="52A0F6D7"/>
    <w:rsid w:val="52B19B5E"/>
    <w:rsid w:val="52C6A79D"/>
    <w:rsid w:val="52EF7CE8"/>
    <w:rsid w:val="53255030"/>
    <w:rsid w:val="537DF8AF"/>
    <w:rsid w:val="538FDACE"/>
    <w:rsid w:val="53982055"/>
    <w:rsid w:val="53C9C474"/>
    <w:rsid w:val="53FBF13A"/>
    <w:rsid w:val="54179198"/>
    <w:rsid w:val="54DD2BCB"/>
    <w:rsid w:val="54DFA6A5"/>
    <w:rsid w:val="54FF4BD7"/>
    <w:rsid w:val="55026F2B"/>
    <w:rsid w:val="55347AA7"/>
    <w:rsid w:val="55773A0D"/>
    <w:rsid w:val="55AD2552"/>
    <w:rsid w:val="55AF8BED"/>
    <w:rsid w:val="55C3674A"/>
    <w:rsid w:val="55D89799"/>
    <w:rsid w:val="5628D51F"/>
    <w:rsid w:val="567CA600"/>
    <w:rsid w:val="569D2829"/>
    <w:rsid w:val="56CB6F3D"/>
    <w:rsid w:val="56D93B37"/>
    <w:rsid w:val="5713B1D8"/>
    <w:rsid w:val="572FA3C6"/>
    <w:rsid w:val="574878C6"/>
    <w:rsid w:val="575F37AB"/>
    <w:rsid w:val="57ADD438"/>
    <w:rsid w:val="57C9CA67"/>
    <w:rsid w:val="5809FC29"/>
    <w:rsid w:val="5837F3EC"/>
    <w:rsid w:val="5851EF50"/>
    <w:rsid w:val="5864EB4C"/>
    <w:rsid w:val="586665A3"/>
    <w:rsid w:val="5866CB38"/>
    <w:rsid w:val="586C26D1"/>
    <w:rsid w:val="587F5378"/>
    <w:rsid w:val="588B469E"/>
    <w:rsid w:val="589D560A"/>
    <w:rsid w:val="58A44B43"/>
    <w:rsid w:val="58AE3089"/>
    <w:rsid w:val="58B673BF"/>
    <w:rsid w:val="58D8C821"/>
    <w:rsid w:val="58DFDF65"/>
    <w:rsid w:val="5907B485"/>
    <w:rsid w:val="599E6E7C"/>
    <w:rsid w:val="59D3C44D"/>
    <w:rsid w:val="59D920ED"/>
    <w:rsid w:val="59E0516E"/>
    <w:rsid w:val="5A01A901"/>
    <w:rsid w:val="5A146F75"/>
    <w:rsid w:val="5A28AA96"/>
    <w:rsid w:val="5A890E32"/>
    <w:rsid w:val="5AC6D8AA"/>
    <w:rsid w:val="5AD7207E"/>
    <w:rsid w:val="5B01699F"/>
    <w:rsid w:val="5B1E3111"/>
    <w:rsid w:val="5B7DCAE0"/>
    <w:rsid w:val="5B8E99F0"/>
    <w:rsid w:val="5BBB7D3A"/>
    <w:rsid w:val="5BC47AF7"/>
    <w:rsid w:val="5BD884E9"/>
    <w:rsid w:val="5BE02ABA"/>
    <w:rsid w:val="5BFFD548"/>
    <w:rsid w:val="5C037F71"/>
    <w:rsid w:val="5C235B41"/>
    <w:rsid w:val="5C2DC061"/>
    <w:rsid w:val="5C3A3B4A"/>
    <w:rsid w:val="5C40F6B6"/>
    <w:rsid w:val="5C91289F"/>
    <w:rsid w:val="5CB3805A"/>
    <w:rsid w:val="5CB9D181"/>
    <w:rsid w:val="5CFDC401"/>
    <w:rsid w:val="5D0B4CB8"/>
    <w:rsid w:val="5D28A4B9"/>
    <w:rsid w:val="5D31E8DD"/>
    <w:rsid w:val="5D604B58"/>
    <w:rsid w:val="5D6454C0"/>
    <w:rsid w:val="5D7AFA40"/>
    <w:rsid w:val="5D7B074C"/>
    <w:rsid w:val="5D855832"/>
    <w:rsid w:val="5DE2E64E"/>
    <w:rsid w:val="5DE6D49F"/>
    <w:rsid w:val="5DE95100"/>
    <w:rsid w:val="5E76066C"/>
    <w:rsid w:val="5E919C44"/>
    <w:rsid w:val="5EA5C4A7"/>
    <w:rsid w:val="5EB349E7"/>
    <w:rsid w:val="5ED86A5C"/>
    <w:rsid w:val="5EF8678E"/>
    <w:rsid w:val="5EFDEB6B"/>
    <w:rsid w:val="5F00C096"/>
    <w:rsid w:val="5F3E868C"/>
    <w:rsid w:val="5F683690"/>
    <w:rsid w:val="5F77973C"/>
    <w:rsid w:val="5F81F5F3"/>
    <w:rsid w:val="5F9A49CD"/>
    <w:rsid w:val="5F9FE81D"/>
    <w:rsid w:val="5FD74F32"/>
    <w:rsid w:val="6037910E"/>
    <w:rsid w:val="60382038"/>
    <w:rsid w:val="604FA196"/>
    <w:rsid w:val="60A873E2"/>
    <w:rsid w:val="60B41501"/>
    <w:rsid w:val="60BFC886"/>
    <w:rsid w:val="60D3F3D3"/>
    <w:rsid w:val="60EC4BA8"/>
    <w:rsid w:val="6132B3F4"/>
    <w:rsid w:val="6137164D"/>
    <w:rsid w:val="613913E6"/>
    <w:rsid w:val="615CCBF5"/>
    <w:rsid w:val="6169F576"/>
    <w:rsid w:val="618D42A4"/>
    <w:rsid w:val="61E5D492"/>
    <w:rsid w:val="6203F404"/>
    <w:rsid w:val="6275463D"/>
    <w:rsid w:val="631100F9"/>
    <w:rsid w:val="6316B03A"/>
    <w:rsid w:val="6324BA35"/>
    <w:rsid w:val="633BB66F"/>
    <w:rsid w:val="63454224"/>
    <w:rsid w:val="634CA6A4"/>
    <w:rsid w:val="638A9D8D"/>
    <w:rsid w:val="63A6F54B"/>
    <w:rsid w:val="63B9E751"/>
    <w:rsid w:val="63CB2175"/>
    <w:rsid w:val="63E014A4"/>
    <w:rsid w:val="63EDF2EB"/>
    <w:rsid w:val="63FDB5F3"/>
    <w:rsid w:val="6414DB7D"/>
    <w:rsid w:val="64482CC2"/>
    <w:rsid w:val="644B4C5A"/>
    <w:rsid w:val="645E09A1"/>
    <w:rsid w:val="64BD71C1"/>
    <w:rsid w:val="64D304E8"/>
    <w:rsid w:val="64DF2F07"/>
    <w:rsid w:val="64E11285"/>
    <w:rsid w:val="64E5F24F"/>
    <w:rsid w:val="64EF1507"/>
    <w:rsid w:val="6511D1ED"/>
    <w:rsid w:val="6516BC43"/>
    <w:rsid w:val="652A45F7"/>
    <w:rsid w:val="652D8598"/>
    <w:rsid w:val="655AB9DE"/>
    <w:rsid w:val="655F210F"/>
    <w:rsid w:val="65A155AA"/>
    <w:rsid w:val="65AC954F"/>
    <w:rsid w:val="65B532F2"/>
    <w:rsid w:val="65C37F3D"/>
    <w:rsid w:val="65D40362"/>
    <w:rsid w:val="65FCAABD"/>
    <w:rsid w:val="66120FE2"/>
    <w:rsid w:val="662FF2DA"/>
    <w:rsid w:val="663BF232"/>
    <w:rsid w:val="66581938"/>
    <w:rsid w:val="669E890E"/>
    <w:rsid w:val="66D54D16"/>
    <w:rsid w:val="66F68A3F"/>
    <w:rsid w:val="67037A6A"/>
    <w:rsid w:val="673788C7"/>
    <w:rsid w:val="67513B72"/>
    <w:rsid w:val="675AFD84"/>
    <w:rsid w:val="67B15571"/>
    <w:rsid w:val="67BE49D6"/>
    <w:rsid w:val="67DB2987"/>
    <w:rsid w:val="67DBC012"/>
    <w:rsid w:val="67F2711B"/>
    <w:rsid w:val="67F2E44E"/>
    <w:rsid w:val="67FC8428"/>
    <w:rsid w:val="681BA268"/>
    <w:rsid w:val="681F562D"/>
    <w:rsid w:val="68261B50"/>
    <w:rsid w:val="682B5FB9"/>
    <w:rsid w:val="684D1325"/>
    <w:rsid w:val="6865265A"/>
    <w:rsid w:val="688E5641"/>
    <w:rsid w:val="68C6D036"/>
    <w:rsid w:val="69126D0F"/>
    <w:rsid w:val="69422832"/>
    <w:rsid w:val="694E766E"/>
    <w:rsid w:val="696A3F51"/>
    <w:rsid w:val="697CB019"/>
    <w:rsid w:val="698566DB"/>
    <w:rsid w:val="698C964D"/>
    <w:rsid w:val="699280F7"/>
    <w:rsid w:val="69985489"/>
    <w:rsid w:val="69B4FD39"/>
    <w:rsid w:val="69BC2AE4"/>
    <w:rsid w:val="69CDC902"/>
    <w:rsid w:val="69E0B6B4"/>
    <w:rsid w:val="69EA2D66"/>
    <w:rsid w:val="6A0DE657"/>
    <w:rsid w:val="6A3A62F9"/>
    <w:rsid w:val="6A634DD4"/>
    <w:rsid w:val="6A6A4EB6"/>
    <w:rsid w:val="6A6FA337"/>
    <w:rsid w:val="6ABCE084"/>
    <w:rsid w:val="6AC00E32"/>
    <w:rsid w:val="6AC8A16F"/>
    <w:rsid w:val="6AE48CD2"/>
    <w:rsid w:val="6AEA46CF"/>
    <w:rsid w:val="6AF17A0D"/>
    <w:rsid w:val="6B117EB3"/>
    <w:rsid w:val="6B4ED6EC"/>
    <w:rsid w:val="6B5A85DA"/>
    <w:rsid w:val="6B5C71AF"/>
    <w:rsid w:val="6B7C8715"/>
    <w:rsid w:val="6B91719D"/>
    <w:rsid w:val="6BD1FB90"/>
    <w:rsid w:val="6C1EE3A0"/>
    <w:rsid w:val="6C2744D2"/>
    <w:rsid w:val="6C338910"/>
    <w:rsid w:val="6C80499F"/>
    <w:rsid w:val="6CB24715"/>
    <w:rsid w:val="6CB77F3E"/>
    <w:rsid w:val="6CE76D7F"/>
    <w:rsid w:val="6CF68E46"/>
    <w:rsid w:val="6D3C86E8"/>
    <w:rsid w:val="6D6DCBF1"/>
    <w:rsid w:val="6D8A687A"/>
    <w:rsid w:val="6DBE58C9"/>
    <w:rsid w:val="6DE85284"/>
    <w:rsid w:val="6E376CF2"/>
    <w:rsid w:val="6EAE81B6"/>
    <w:rsid w:val="6EDA4D36"/>
    <w:rsid w:val="6EDADA8B"/>
    <w:rsid w:val="6EE46F68"/>
    <w:rsid w:val="6EF58301"/>
    <w:rsid w:val="6F05C4C8"/>
    <w:rsid w:val="6F27D818"/>
    <w:rsid w:val="6F2AB4D1"/>
    <w:rsid w:val="6F36877A"/>
    <w:rsid w:val="6F41EA3B"/>
    <w:rsid w:val="6F58C6FB"/>
    <w:rsid w:val="6F795B73"/>
    <w:rsid w:val="6F838E96"/>
    <w:rsid w:val="6F87E387"/>
    <w:rsid w:val="6FBE1D33"/>
    <w:rsid w:val="6FEB0AC4"/>
    <w:rsid w:val="6FF1E6FD"/>
    <w:rsid w:val="6FF65096"/>
    <w:rsid w:val="702A1A89"/>
    <w:rsid w:val="702E1770"/>
    <w:rsid w:val="702ECF48"/>
    <w:rsid w:val="704FF838"/>
    <w:rsid w:val="70803FC9"/>
    <w:rsid w:val="70F8B2D4"/>
    <w:rsid w:val="70FA14C7"/>
    <w:rsid w:val="712F37D3"/>
    <w:rsid w:val="7137ECB0"/>
    <w:rsid w:val="714252C5"/>
    <w:rsid w:val="71598853"/>
    <w:rsid w:val="7177B99A"/>
    <w:rsid w:val="7196D672"/>
    <w:rsid w:val="71A530DB"/>
    <w:rsid w:val="71AC6DDF"/>
    <w:rsid w:val="71C2E79E"/>
    <w:rsid w:val="71E49B66"/>
    <w:rsid w:val="720147E2"/>
    <w:rsid w:val="7218F83C"/>
    <w:rsid w:val="721C102A"/>
    <w:rsid w:val="724574DE"/>
    <w:rsid w:val="727303B6"/>
    <w:rsid w:val="72836FCE"/>
    <w:rsid w:val="729E8D42"/>
    <w:rsid w:val="72CF7C3B"/>
    <w:rsid w:val="72D8DAEF"/>
    <w:rsid w:val="732E164D"/>
    <w:rsid w:val="7339B961"/>
    <w:rsid w:val="7349C1AD"/>
    <w:rsid w:val="7360EE84"/>
    <w:rsid w:val="7379321C"/>
    <w:rsid w:val="737A5A51"/>
    <w:rsid w:val="737B574C"/>
    <w:rsid w:val="73929244"/>
    <w:rsid w:val="739A4937"/>
    <w:rsid w:val="73D43AE4"/>
    <w:rsid w:val="73E2CF30"/>
    <w:rsid w:val="73FD3B6E"/>
    <w:rsid w:val="73FE25F4"/>
    <w:rsid w:val="740B8B4E"/>
    <w:rsid w:val="740F3FEF"/>
    <w:rsid w:val="7413803E"/>
    <w:rsid w:val="7431B589"/>
    <w:rsid w:val="7456E396"/>
    <w:rsid w:val="7468787C"/>
    <w:rsid w:val="74A5433B"/>
    <w:rsid w:val="7505C6BB"/>
    <w:rsid w:val="7515027D"/>
    <w:rsid w:val="75468ACC"/>
    <w:rsid w:val="7566FDE1"/>
    <w:rsid w:val="75733157"/>
    <w:rsid w:val="758AB932"/>
    <w:rsid w:val="75B7EC1F"/>
    <w:rsid w:val="75E3950C"/>
    <w:rsid w:val="75FE7596"/>
    <w:rsid w:val="7600B23A"/>
    <w:rsid w:val="760448DD"/>
    <w:rsid w:val="760D3468"/>
    <w:rsid w:val="7611D8DB"/>
    <w:rsid w:val="761F47C1"/>
    <w:rsid w:val="762B8D04"/>
    <w:rsid w:val="762D11A3"/>
    <w:rsid w:val="766D7F64"/>
    <w:rsid w:val="76CAFF4B"/>
    <w:rsid w:val="76CFBC1D"/>
    <w:rsid w:val="76FFA686"/>
    <w:rsid w:val="7720D387"/>
    <w:rsid w:val="7734DC30"/>
    <w:rsid w:val="774BE6F3"/>
    <w:rsid w:val="776AE3F0"/>
    <w:rsid w:val="776DDC0C"/>
    <w:rsid w:val="7783A356"/>
    <w:rsid w:val="779BA44A"/>
    <w:rsid w:val="77A139FA"/>
    <w:rsid w:val="77BC33A5"/>
    <w:rsid w:val="7866CFAC"/>
    <w:rsid w:val="787E7545"/>
    <w:rsid w:val="78837820"/>
    <w:rsid w:val="7884BDD4"/>
    <w:rsid w:val="788B51AE"/>
    <w:rsid w:val="78D7811F"/>
    <w:rsid w:val="793BE99F"/>
    <w:rsid w:val="797A513F"/>
    <w:rsid w:val="79DFCB3F"/>
    <w:rsid w:val="7A004858"/>
    <w:rsid w:val="7A02A00D"/>
    <w:rsid w:val="7A1554D8"/>
    <w:rsid w:val="7A1A45A6"/>
    <w:rsid w:val="7A1CA265"/>
    <w:rsid w:val="7A573C1C"/>
    <w:rsid w:val="7A57C8E0"/>
    <w:rsid w:val="7A587449"/>
    <w:rsid w:val="7A5F9069"/>
    <w:rsid w:val="7A62D936"/>
    <w:rsid w:val="7A7F027D"/>
    <w:rsid w:val="7AA958BD"/>
    <w:rsid w:val="7AAE5716"/>
    <w:rsid w:val="7AB3D274"/>
    <w:rsid w:val="7AB7BD64"/>
    <w:rsid w:val="7ABB852F"/>
    <w:rsid w:val="7AD4E75C"/>
    <w:rsid w:val="7ADAEBC6"/>
    <w:rsid w:val="7AE93D93"/>
    <w:rsid w:val="7B0C7CA2"/>
    <w:rsid w:val="7B3D8706"/>
    <w:rsid w:val="7B48B2A6"/>
    <w:rsid w:val="7B852D72"/>
    <w:rsid w:val="7B9E706E"/>
    <w:rsid w:val="7BB798CB"/>
    <w:rsid w:val="7BBDDFDF"/>
    <w:rsid w:val="7BC2F270"/>
    <w:rsid w:val="7BC6C741"/>
    <w:rsid w:val="7BD2192D"/>
    <w:rsid w:val="7BE5B475"/>
    <w:rsid w:val="7BF68F8F"/>
    <w:rsid w:val="7C00C326"/>
    <w:rsid w:val="7C060734"/>
    <w:rsid w:val="7C1ED751"/>
    <w:rsid w:val="7C272369"/>
    <w:rsid w:val="7C453BDE"/>
    <w:rsid w:val="7C5218E2"/>
    <w:rsid w:val="7C722CB6"/>
    <w:rsid w:val="7C896545"/>
    <w:rsid w:val="7C97701B"/>
    <w:rsid w:val="7CDA0D42"/>
    <w:rsid w:val="7CFA6436"/>
    <w:rsid w:val="7D4E24F7"/>
    <w:rsid w:val="7D513471"/>
    <w:rsid w:val="7D5440A3"/>
    <w:rsid w:val="7D5B7001"/>
    <w:rsid w:val="7D7AFA13"/>
    <w:rsid w:val="7D7E088C"/>
    <w:rsid w:val="7D855F94"/>
    <w:rsid w:val="7DD80C9D"/>
    <w:rsid w:val="7DDA9DB6"/>
    <w:rsid w:val="7DE49D7F"/>
    <w:rsid w:val="7E06A901"/>
    <w:rsid w:val="7E198629"/>
    <w:rsid w:val="7E293685"/>
    <w:rsid w:val="7E568B8E"/>
    <w:rsid w:val="7E587BA2"/>
    <w:rsid w:val="7EBA9111"/>
    <w:rsid w:val="7EC84153"/>
    <w:rsid w:val="7F2C7E4A"/>
    <w:rsid w:val="7F385E61"/>
    <w:rsid w:val="7F893B22"/>
    <w:rsid w:val="7F96F13A"/>
    <w:rsid w:val="7FB652A9"/>
    <w:rsid w:val="7FC42B1A"/>
    <w:rsid w:val="7FE10A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D643"/>
  <w15:chartTrackingRefBased/>
  <w15:docId w15:val="{A03BEA6C-EF2D-41C9-83B5-AC2283DB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3326"/>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515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D2E30"/>
    <w:pPr>
      <w:ind w:left="720"/>
      <w:contextualSpacing/>
    </w:pPr>
  </w:style>
  <w:style w:type="paragraph" w:styleId="Header">
    <w:name w:val="header"/>
    <w:basedOn w:val="Normal"/>
    <w:link w:val="HeaderChar"/>
    <w:uiPriority w:val="99"/>
    <w:unhideWhenUsed/>
    <w:rsid w:val="002A7540"/>
    <w:pPr>
      <w:tabs>
        <w:tab w:val="center" w:pos="4513"/>
        <w:tab w:val="right" w:pos="9026"/>
      </w:tabs>
    </w:pPr>
  </w:style>
  <w:style w:type="character" w:styleId="HeaderChar" w:customStyle="1">
    <w:name w:val="Header Char"/>
    <w:basedOn w:val="DefaultParagraphFont"/>
    <w:link w:val="Header"/>
    <w:uiPriority w:val="99"/>
    <w:rsid w:val="002A7540"/>
  </w:style>
  <w:style w:type="paragraph" w:styleId="Footer">
    <w:name w:val="footer"/>
    <w:basedOn w:val="Normal"/>
    <w:link w:val="FooterChar"/>
    <w:uiPriority w:val="99"/>
    <w:unhideWhenUsed/>
    <w:rsid w:val="002A7540"/>
    <w:pPr>
      <w:tabs>
        <w:tab w:val="center" w:pos="4513"/>
        <w:tab w:val="right" w:pos="9026"/>
      </w:tabs>
    </w:pPr>
  </w:style>
  <w:style w:type="character" w:styleId="FooterChar" w:customStyle="1">
    <w:name w:val="Footer Char"/>
    <w:basedOn w:val="DefaultParagraphFont"/>
    <w:link w:val="Footer"/>
    <w:uiPriority w:val="99"/>
    <w:rsid w:val="002A7540"/>
  </w:style>
  <w:style w:type="paragraph" w:styleId="NoSpacing">
    <w:name w:val="No Spacing"/>
    <w:uiPriority w:val="1"/>
    <w:qFormat/>
    <w:rsid w:val="00843326"/>
    <w:pPr>
      <w:spacing w:after="0" w:line="240" w:lineRule="auto"/>
    </w:pPr>
  </w:style>
  <w:style w:type="table" w:styleId="GridTable4-Accent6">
    <w:name w:val="Grid Table 4 Accent 6"/>
    <w:basedOn w:val="TableNormal"/>
    <w:uiPriority w:val="49"/>
    <w:rsid w:val="00C12C17"/>
    <w:pPr>
      <w:spacing w:after="0" w:line="240" w:lineRule="auto"/>
    </w:pPr>
    <w:rPr>
      <w:sz w:val="24"/>
      <w:szCs w:val="24"/>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C12C17"/>
    <w:rPr>
      <w:sz w:val="16"/>
      <w:szCs w:val="16"/>
    </w:rPr>
  </w:style>
  <w:style w:type="paragraph" w:styleId="CommentText">
    <w:name w:val="annotation text"/>
    <w:basedOn w:val="Normal"/>
    <w:link w:val="CommentTextChar"/>
    <w:uiPriority w:val="99"/>
    <w:unhideWhenUsed/>
    <w:rsid w:val="00C12C17"/>
    <w:rPr>
      <w:rFonts w:eastAsiaTheme="minorEastAsia"/>
      <w:sz w:val="20"/>
      <w:szCs w:val="20"/>
      <w:lang w:eastAsia="en-GB"/>
    </w:rPr>
  </w:style>
  <w:style w:type="character" w:styleId="CommentTextChar" w:customStyle="1">
    <w:name w:val="Comment Text Char"/>
    <w:basedOn w:val="DefaultParagraphFont"/>
    <w:link w:val="CommentText"/>
    <w:uiPriority w:val="99"/>
    <w:rsid w:val="00C12C17"/>
    <w:rPr>
      <w:rFonts w:eastAsiaTheme="minorEastAsia"/>
      <w:sz w:val="20"/>
      <w:szCs w:val="20"/>
      <w:lang w:eastAsia="en-GB"/>
    </w:rPr>
  </w:style>
  <w:style w:type="table" w:styleId="ListTable3-Accent6">
    <w:name w:val="List Table 3 Accent 6"/>
    <w:basedOn w:val="TableNormal"/>
    <w:uiPriority w:val="48"/>
    <w:rsid w:val="00EE5F00"/>
    <w:pPr>
      <w:spacing w:after="0" w:line="240" w:lineRule="auto"/>
    </w:pPr>
    <w:rPr>
      <w:sz w:val="24"/>
      <w:szCs w:val="24"/>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paragraph" w:styleId="paragraph" w:customStyle="1">
    <w:name w:val="paragraph"/>
    <w:basedOn w:val="Normal"/>
    <w:rsid w:val="007D2E09"/>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D2E09"/>
  </w:style>
  <w:style w:type="character" w:styleId="eop" w:customStyle="1">
    <w:name w:val="eop"/>
    <w:basedOn w:val="DefaultParagraphFont"/>
    <w:rsid w:val="007D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77056">
      <w:bodyDiv w:val="1"/>
      <w:marLeft w:val="0"/>
      <w:marRight w:val="0"/>
      <w:marTop w:val="0"/>
      <w:marBottom w:val="0"/>
      <w:divBdr>
        <w:top w:val="none" w:sz="0" w:space="0" w:color="auto"/>
        <w:left w:val="none" w:sz="0" w:space="0" w:color="auto"/>
        <w:bottom w:val="none" w:sz="0" w:space="0" w:color="auto"/>
        <w:right w:val="none" w:sz="0" w:space="0" w:color="auto"/>
      </w:divBdr>
    </w:div>
    <w:div w:id="1479225111">
      <w:bodyDiv w:val="1"/>
      <w:marLeft w:val="0"/>
      <w:marRight w:val="0"/>
      <w:marTop w:val="0"/>
      <w:marBottom w:val="0"/>
      <w:divBdr>
        <w:top w:val="none" w:sz="0" w:space="0" w:color="auto"/>
        <w:left w:val="none" w:sz="0" w:space="0" w:color="auto"/>
        <w:bottom w:val="none" w:sz="0" w:space="0" w:color="auto"/>
        <w:right w:val="none" w:sz="0" w:space="0" w:color="auto"/>
      </w:divBdr>
      <w:divsChild>
        <w:div w:id="822233722">
          <w:marLeft w:val="0"/>
          <w:marRight w:val="0"/>
          <w:marTop w:val="0"/>
          <w:marBottom w:val="0"/>
          <w:divBdr>
            <w:top w:val="none" w:sz="0" w:space="0" w:color="auto"/>
            <w:left w:val="none" w:sz="0" w:space="0" w:color="auto"/>
            <w:bottom w:val="none" w:sz="0" w:space="0" w:color="auto"/>
            <w:right w:val="none" w:sz="0" w:space="0" w:color="auto"/>
          </w:divBdr>
          <w:divsChild>
            <w:div w:id="2098938718">
              <w:marLeft w:val="0"/>
              <w:marRight w:val="0"/>
              <w:marTop w:val="0"/>
              <w:marBottom w:val="0"/>
              <w:divBdr>
                <w:top w:val="none" w:sz="0" w:space="0" w:color="auto"/>
                <w:left w:val="none" w:sz="0" w:space="0" w:color="auto"/>
                <w:bottom w:val="none" w:sz="0" w:space="0" w:color="auto"/>
                <w:right w:val="none" w:sz="0" w:space="0" w:color="auto"/>
              </w:divBdr>
            </w:div>
            <w:div w:id="2137719235">
              <w:marLeft w:val="0"/>
              <w:marRight w:val="0"/>
              <w:marTop w:val="0"/>
              <w:marBottom w:val="0"/>
              <w:divBdr>
                <w:top w:val="none" w:sz="0" w:space="0" w:color="auto"/>
                <w:left w:val="none" w:sz="0" w:space="0" w:color="auto"/>
                <w:bottom w:val="none" w:sz="0" w:space="0" w:color="auto"/>
                <w:right w:val="none" w:sz="0" w:space="0" w:color="auto"/>
              </w:divBdr>
            </w:div>
          </w:divsChild>
        </w:div>
        <w:div w:id="1314871879">
          <w:marLeft w:val="0"/>
          <w:marRight w:val="0"/>
          <w:marTop w:val="0"/>
          <w:marBottom w:val="0"/>
          <w:divBdr>
            <w:top w:val="none" w:sz="0" w:space="0" w:color="auto"/>
            <w:left w:val="none" w:sz="0" w:space="0" w:color="auto"/>
            <w:bottom w:val="none" w:sz="0" w:space="0" w:color="auto"/>
            <w:right w:val="none" w:sz="0" w:space="0" w:color="auto"/>
          </w:divBdr>
          <w:divsChild>
            <w:div w:id="17836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BF45DDE5FF2E45B84D296CF97ECFF6" ma:contentTypeVersion="17" ma:contentTypeDescription="Create a new document." ma:contentTypeScope="" ma:versionID="843026af1278f145fbad070c5d22f16f">
  <xsd:schema xmlns:xsd="http://www.w3.org/2001/XMLSchema" xmlns:xs="http://www.w3.org/2001/XMLSchema" xmlns:p="http://schemas.microsoft.com/office/2006/metadata/properties" xmlns:ns2="7ac0b3cc-0a3c-4cd3-9d92-f2fceffc6b13" xmlns:ns3="8aa40fb7-b9d3-4629-918f-7341ce6e40b2" targetNamespace="http://schemas.microsoft.com/office/2006/metadata/properties" ma:root="true" ma:fieldsID="af70a93e6780fcab7304c582063d45e4" ns2:_="" ns3:_="">
    <xsd:import namespace="7ac0b3cc-0a3c-4cd3-9d92-f2fceffc6b13"/>
    <xsd:import namespace="8aa40fb7-b9d3-4629-918f-7341ce6e40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b3cc-0a3c-4cd3-9d92-f2fceffc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e2703d-e733-4401-aa4e-9975ed14af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40fb7-b9d3-4629-918f-7341ce6e40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d3a124-6cbe-4a16-b534-e9f0431f5796}" ma:internalName="TaxCatchAll" ma:showField="CatchAllData" ma:web="8aa40fb7-b9d3-4629-918f-7341ce6e4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a40fb7-b9d3-4629-918f-7341ce6e40b2" xsi:nil="true"/>
    <lcf76f155ced4ddcb4097134ff3c332f xmlns="7ac0b3cc-0a3c-4cd3-9d92-f2fceffc6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023B2-7A75-454F-B681-E23C10A3BC1B}">
  <ds:schemaRefs>
    <ds:schemaRef ds:uri="http://schemas.microsoft.com/sharepoint/v3/contenttype/forms"/>
  </ds:schemaRefs>
</ds:datastoreItem>
</file>

<file path=customXml/itemProps2.xml><?xml version="1.0" encoding="utf-8"?>
<ds:datastoreItem xmlns:ds="http://schemas.openxmlformats.org/officeDocument/2006/customXml" ds:itemID="{703A0EC0-2397-452A-8B08-658C5496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b3cc-0a3c-4cd3-9d92-f2fceffc6b13"/>
    <ds:schemaRef ds:uri="8aa40fb7-b9d3-4629-918f-7341ce6e4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59AF6-83EC-40A3-B4D2-1B76B53BCDD7}">
  <ds:schemaRefs>
    <ds:schemaRef ds:uri="http://schemas.microsoft.com/office/2006/metadata/properties"/>
    <ds:schemaRef ds:uri="http://schemas.microsoft.com/office/infopath/2007/PartnerControls"/>
    <ds:schemaRef ds:uri="8aa40fb7-b9d3-4629-918f-7341ce6e40b2"/>
    <ds:schemaRef ds:uri="7ac0b3cc-0a3c-4cd3-9d92-f2fceffc6b1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Jonathon: WCC</dc:creator>
  <cp:keywords/>
  <dc:description/>
  <cp:lastModifiedBy>Jenny Woolcock</cp:lastModifiedBy>
  <cp:revision>78</cp:revision>
  <cp:lastPrinted>2023-10-05T15:12:00Z</cp:lastPrinted>
  <dcterms:created xsi:type="dcterms:W3CDTF">2023-07-28T21:36:00Z</dcterms:created>
  <dcterms:modified xsi:type="dcterms:W3CDTF">2023-12-01T11:47:02Z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0x010100F1BF45DDE5FF2E45B84D296CF97ECFF6</vt:lpwstr>
  </property>
  <property fmtid="{D5CDD505-2E9C-101B-9397-08002B2CF9AE}" pid="3" name="MediaServiceImageTags">
    <vt:lpwstr/>
  </property>
</Properties>
</file>