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CF" w:rsidRDefault="00F33C31">
      <w:pPr>
        <w:rPr>
          <w:b/>
          <w:sz w:val="40"/>
          <w:szCs w:val="40"/>
        </w:rPr>
      </w:pPr>
      <w:r w:rsidRPr="00F33C31">
        <w:rPr>
          <w:b/>
          <w:sz w:val="40"/>
          <w:szCs w:val="40"/>
        </w:rPr>
        <w:t>Early education entitlement</w:t>
      </w:r>
      <w:r w:rsidR="00E137C8">
        <w:rPr>
          <w:b/>
          <w:sz w:val="40"/>
          <w:szCs w:val="40"/>
        </w:rPr>
        <w:t xml:space="preserve"> s</w:t>
      </w:r>
      <w:r w:rsidRPr="00F33C31">
        <w:rPr>
          <w:b/>
          <w:sz w:val="40"/>
          <w:szCs w:val="40"/>
        </w:rPr>
        <w:t>pring 2023</w:t>
      </w:r>
      <w:r w:rsidR="004B4AC0">
        <w:rPr>
          <w:b/>
          <w:sz w:val="40"/>
          <w:szCs w:val="40"/>
        </w:rPr>
        <w:t xml:space="preserve"> update</w:t>
      </w:r>
    </w:p>
    <w:p w:rsidR="00F33C31" w:rsidRPr="001111CE" w:rsidRDefault="00F33C31" w:rsidP="000C3271">
      <w:pPr>
        <w:keepNext/>
        <w:keepLines/>
        <w:spacing w:before="240" w:after="0"/>
        <w:outlineLvl w:val="0"/>
        <w:rPr>
          <w:rFonts w:eastAsiaTheme="majorEastAsia" w:cstheme="minorHAnsi"/>
          <w:b/>
        </w:rPr>
      </w:pPr>
      <w:r w:rsidRPr="001111CE">
        <w:rPr>
          <w:rFonts w:cstheme="minorHAnsi"/>
        </w:rPr>
        <w:t>Pl</w:t>
      </w:r>
      <w:r w:rsidR="00056668" w:rsidRPr="001111CE">
        <w:rPr>
          <w:rFonts w:cstheme="minorHAnsi"/>
        </w:rPr>
        <w:t>ease note this is estimated uptake</w:t>
      </w:r>
      <w:r w:rsidRPr="001111CE">
        <w:rPr>
          <w:rFonts w:cstheme="minorHAnsi"/>
        </w:rPr>
        <w:t xml:space="preserve"> </w:t>
      </w:r>
      <w:r w:rsidR="0099581D" w:rsidRPr="001111CE">
        <w:rPr>
          <w:rFonts w:cstheme="minorHAnsi"/>
        </w:rPr>
        <w:t xml:space="preserve">for </w:t>
      </w:r>
      <w:r w:rsidR="001111CE" w:rsidRPr="001111CE">
        <w:rPr>
          <w:rFonts w:cstheme="minorHAnsi"/>
        </w:rPr>
        <w:t>January</w:t>
      </w:r>
      <w:r w:rsidR="00E137C8" w:rsidRPr="001111CE">
        <w:rPr>
          <w:rFonts w:cstheme="minorHAnsi"/>
        </w:rPr>
        <w:t xml:space="preserve"> 2023,</w:t>
      </w:r>
      <w:r w:rsidR="00F6635E" w:rsidRPr="001111CE">
        <w:rPr>
          <w:rFonts w:cstheme="minorHAnsi"/>
        </w:rPr>
        <w:t xml:space="preserve"> data will published by the </w:t>
      </w:r>
      <w:proofErr w:type="spellStart"/>
      <w:r w:rsidR="00F6635E" w:rsidRPr="001111CE">
        <w:rPr>
          <w:rFonts w:cstheme="minorHAnsi"/>
        </w:rPr>
        <w:t>DfE</w:t>
      </w:r>
      <w:proofErr w:type="spellEnd"/>
      <w:r w:rsidRPr="001111CE">
        <w:rPr>
          <w:rFonts w:cstheme="minorHAnsi"/>
        </w:rPr>
        <w:t xml:space="preserve"> in July 2023</w:t>
      </w:r>
      <w:r w:rsidR="00F6635E" w:rsidRPr="001111CE">
        <w:rPr>
          <w:rFonts w:cstheme="minorHAnsi"/>
        </w:rPr>
        <w:t>.</w:t>
      </w:r>
    </w:p>
    <w:p w:rsidR="00F33C31" w:rsidRDefault="00F33C31" w:rsidP="00F33C31">
      <w:pPr>
        <w:keepNext/>
        <w:keepLines/>
        <w:spacing w:before="40" w:after="0"/>
        <w:outlineLvl w:val="1"/>
        <w:rPr>
          <w:rFonts w:cstheme="minorHAnsi"/>
        </w:rPr>
      </w:pPr>
    </w:p>
    <w:p w:rsidR="00F33C31" w:rsidRPr="00F33C31" w:rsidRDefault="00F33C31" w:rsidP="00F33C31">
      <w:pPr>
        <w:keepNext/>
        <w:keepLines/>
        <w:spacing w:before="40" w:after="0"/>
        <w:outlineLvl w:val="1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>
            <wp:extent cx="5810596" cy="2971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4F7F" w:rsidRDefault="008D4F7F" w:rsidP="000C3271">
      <w:pPr>
        <w:spacing w:after="0"/>
        <w:rPr>
          <w:rFonts w:ascii="Calibri" w:hAnsi="Calibri" w:cs="Calibri"/>
        </w:rPr>
      </w:pPr>
    </w:p>
    <w:p w:rsidR="001111CE" w:rsidRDefault="008D4F7F" w:rsidP="000C327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Luton percentage uptake</w:t>
      </w:r>
      <w:r w:rsidRPr="00F33C31">
        <w:rPr>
          <w:rFonts w:ascii="Calibri" w:hAnsi="Calibri" w:cs="Calibri"/>
          <w:b/>
        </w:rPr>
        <w:t xml:space="preserve"> of two-year-olds based on the DWP list of eligible families</w:t>
      </w:r>
      <w:r w:rsidR="001111CE" w:rsidRPr="001111CE">
        <w:rPr>
          <w:rFonts w:ascii="Calibri" w:hAnsi="Calibri" w:cs="Calibri"/>
        </w:rPr>
        <w:t xml:space="preserve"> </w:t>
      </w:r>
    </w:p>
    <w:p w:rsidR="001111CE" w:rsidRPr="001111CE" w:rsidRDefault="001111CE" w:rsidP="000C3271">
      <w:pPr>
        <w:spacing w:after="0"/>
        <w:rPr>
          <w:rFonts w:ascii="Calibri" w:hAnsi="Calibri" w:cs="Calibri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139"/>
        <w:gridCol w:w="1691"/>
        <w:gridCol w:w="1985"/>
        <w:gridCol w:w="1843"/>
        <w:gridCol w:w="2126"/>
      </w:tblGrid>
      <w:tr w:rsidR="00F33C31" w:rsidRPr="00F33C31" w:rsidTr="008D4F7F">
        <w:trPr>
          <w:trHeight w:val="27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2 YO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2023</w:t>
            </w:r>
          </w:p>
        </w:tc>
      </w:tr>
      <w:tr w:rsidR="00F33C31" w:rsidRPr="00F33C31" w:rsidTr="008D4F7F">
        <w:trPr>
          <w:trHeight w:val="23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Places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743</w:t>
            </w:r>
          </w:p>
        </w:tc>
      </w:tr>
      <w:tr w:rsidR="00F33C31" w:rsidRPr="00F33C31" w:rsidTr="008D4F7F">
        <w:trPr>
          <w:trHeight w:val="23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F33C31" w:rsidRDefault="00911C69" w:rsidP="00F33C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Uptake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67%</w:t>
            </w:r>
          </w:p>
        </w:tc>
      </w:tr>
      <w:tr w:rsidR="00F33C31" w:rsidRPr="00F33C31" w:rsidTr="008D4F7F">
        <w:trPr>
          <w:trHeight w:val="231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National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69%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72%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0C327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TBC</w:t>
            </w:r>
          </w:p>
        </w:tc>
      </w:tr>
    </w:tbl>
    <w:p w:rsidR="001111CE" w:rsidRDefault="001111CE" w:rsidP="00F33C31">
      <w:pPr>
        <w:spacing w:after="0"/>
        <w:rPr>
          <w:rFonts w:ascii="Calibri" w:hAnsi="Calibri" w:cs="Calibri"/>
        </w:rPr>
      </w:pPr>
    </w:p>
    <w:p w:rsidR="00F33C31" w:rsidRDefault="001111CE" w:rsidP="00F33C31">
      <w:pPr>
        <w:spacing w:after="0"/>
        <w:rPr>
          <w:rFonts w:cstheme="minorHAnsi"/>
        </w:rPr>
      </w:pPr>
      <w:r w:rsidRPr="00F33C31">
        <w:rPr>
          <w:rFonts w:ascii="Calibri" w:hAnsi="Calibri" w:cs="Calibri"/>
        </w:rPr>
        <w:t xml:space="preserve">The number of children on the 2 year old DWP list has continued to fall from 1193 in November 2021 (the number used for </w:t>
      </w:r>
      <w:proofErr w:type="spellStart"/>
      <w:r w:rsidRPr="00F33C31">
        <w:rPr>
          <w:rFonts w:ascii="Calibri" w:hAnsi="Calibri" w:cs="Calibri"/>
        </w:rPr>
        <w:t>DfE</w:t>
      </w:r>
      <w:proofErr w:type="spellEnd"/>
      <w:r w:rsidRPr="00F33C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uptake</w:t>
      </w:r>
      <w:r w:rsidRPr="00F33C31">
        <w:rPr>
          <w:rFonts w:ascii="Calibri" w:hAnsi="Calibri" w:cs="Calibri"/>
        </w:rPr>
        <w:t xml:space="preserve"> calculations) to 1103 in November 2022</w:t>
      </w:r>
    </w:p>
    <w:p w:rsidR="001111CE" w:rsidRPr="00F33C31" w:rsidRDefault="001111CE" w:rsidP="00F33C31">
      <w:pPr>
        <w:spacing w:after="0"/>
        <w:rPr>
          <w:rFonts w:cstheme="minorHAnsi"/>
        </w:rPr>
      </w:pPr>
    </w:p>
    <w:p w:rsidR="00E137C8" w:rsidRDefault="00F33C31" w:rsidP="00F33C31">
      <w:pPr>
        <w:spacing w:after="0"/>
        <w:rPr>
          <w:rFonts w:ascii="Calibri" w:hAnsi="Calibri" w:cs="Calibri"/>
          <w:b/>
        </w:rPr>
      </w:pPr>
      <w:r w:rsidRPr="00F33C31">
        <w:rPr>
          <w:rFonts w:ascii="Calibri" w:hAnsi="Calibri" w:cs="Calibri"/>
          <w:b/>
        </w:rPr>
        <w:t xml:space="preserve">Luton percentage </w:t>
      </w:r>
      <w:r w:rsidR="00911C69">
        <w:rPr>
          <w:rFonts w:ascii="Calibri" w:hAnsi="Calibri" w:cs="Calibri"/>
          <w:b/>
        </w:rPr>
        <w:t>uptake</w:t>
      </w:r>
      <w:r w:rsidRPr="00F33C31">
        <w:rPr>
          <w:rFonts w:ascii="Calibri" w:hAnsi="Calibri" w:cs="Calibri"/>
          <w:b/>
        </w:rPr>
        <w:t xml:space="preserve"> of three-and-four-year-olds (universal funding) </w:t>
      </w:r>
    </w:p>
    <w:p w:rsidR="001111CE" w:rsidRPr="00F33C31" w:rsidRDefault="001111CE" w:rsidP="00F33C31">
      <w:pPr>
        <w:spacing w:after="0"/>
        <w:rPr>
          <w:rFonts w:ascii="Calibri" w:hAnsi="Calibri" w:cs="Calibri"/>
          <w:b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980"/>
        <w:gridCol w:w="1533"/>
        <w:gridCol w:w="1585"/>
        <w:gridCol w:w="1843"/>
        <w:gridCol w:w="1843"/>
      </w:tblGrid>
      <w:tr w:rsidR="00F33C31" w:rsidRPr="00F33C31" w:rsidTr="008D4F7F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3 &amp; 4 YO Universal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vertAlign w:val="superscript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2023</w:t>
            </w:r>
          </w:p>
        </w:tc>
      </w:tr>
      <w:tr w:rsidR="00F33C31" w:rsidRPr="00F33C31" w:rsidTr="008D4F7F">
        <w:trPr>
          <w:trHeight w:val="24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Places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6235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5997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6038</w:t>
            </w:r>
          </w:p>
        </w:tc>
      </w:tr>
      <w:tr w:rsidR="00F33C31" w:rsidRPr="00F33C31" w:rsidTr="008D4F7F">
        <w:trPr>
          <w:trHeight w:val="2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911C69" w:rsidP="00F33C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Uptake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88%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91%</w:t>
            </w:r>
          </w:p>
        </w:tc>
      </w:tr>
      <w:tr w:rsidR="00F33C31" w:rsidRPr="00F33C31" w:rsidTr="008D4F7F">
        <w:trPr>
          <w:trHeight w:val="2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National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93%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92%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0C327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TBC</w:t>
            </w:r>
          </w:p>
        </w:tc>
      </w:tr>
    </w:tbl>
    <w:p w:rsidR="00F33C31" w:rsidRDefault="00F33C31" w:rsidP="00F33C31">
      <w:pPr>
        <w:rPr>
          <w:rFonts w:cstheme="minorHAnsi"/>
          <w:sz w:val="16"/>
          <w:szCs w:val="16"/>
        </w:rPr>
      </w:pPr>
      <w:r w:rsidRPr="00F33C31">
        <w:rPr>
          <w:rFonts w:cstheme="minorHAnsi"/>
        </w:rPr>
        <w:t>*</w:t>
      </w:r>
      <w:r w:rsidRPr="008D4F7F">
        <w:rPr>
          <w:rFonts w:cstheme="minorHAnsi"/>
          <w:sz w:val="16"/>
          <w:szCs w:val="16"/>
        </w:rPr>
        <w:t>Based on ONS estimate for 3 and 4 year olds 6,630 &amp; includes estimated school reception class numbers 2000</w:t>
      </w:r>
    </w:p>
    <w:p w:rsidR="001111CE" w:rsidRPr="008D4F7F" w:rsidRDefault="001111CE" w:rsidP="00F33C31">
      <w:pPr>
        <w:rPr>
          <w:rFonts w:cstheme="minorHAnsi"/>
          <w:sz w:val="16"/>
          <w:szCs w:val="16"/>
        </w:rPr>
      </w:pPr>
    </w:p>
    <w:p w:rsidR="00F33C31" w:rsidRDefault="00F33C31" w:rsidP="001111CE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</w:rPr>
      </w:pPr>
      <w:r w:rsidRPr="00F33C31">
        <w:rPr>
          <w:rFonts w:ascii="Calibri" w:eastAsiaTheme="majorEastAsia" w:hAnsi="Calibri" w:cs="Calibri"/>
          <w:b/>
        </w:rPr>
        <w:t>Three and-four-year-old 30 extended funding</w:t>
      </w:r>
    </w:p>
    <w:p w:rsidR="001111CE" w:rsidRPr="001111CE" w:rsidRDefault="001111CE" w:rsidP="001111CE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985"/>
        <w:gridCol w:w="1417"/>
      </w:tblGrid>
      <w:tr w:rsidR="00F33C31" w:rsidRPr="00F33C31" w:rsidTr="008D4F7F">
        <w:trPr>
          <w:trHeight w:val="2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 &amp; 4 YO Extended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vertAlign w:val="superscript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33C31">
              <w:rPr>
                <w:rFonts w:eastAsia="Times New Roman" w:cstheme="minorHAnsi"/>
                <w:b/>
                <w:bCs/>
                <w:lang w:eastAsia="en-GB"/>
              </w:rPr>
              <w:t>Spring 2023</w:t>
            </w:r>
          </w:p>
        </w:tc>
      </w:tr>
      <w:tr w:rsidR="00F33C31" w:rsidRPr="00F33C31" w:rsidTr="008D4F7F">
        <w:trPr>
          <w:trHeight w:val="2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F33C31" w:rsidRDefault="00F33C31" w:rsidP="00F33C3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3C31">
              <w:rPr>
                <w:rFonts w:eastAsia="Times New Roman" w:cstheme="minorHAnsi"/>
                <w:color w:val="000000"/>
                <w:lang w:eastAsia="en-GB"/>
              </w:rPr>
              <w:t>Estimated places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33C31">
              <w:rPr>
                <w:rFonts w:eastAsia="Times New Roman" w:cstheme="minorHAnsi"/>
                <w:color w:val="000000"/>
                <w:lang w:eastAsia="en-GB"/>
              </w:rPr>
              <w:t>1042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31" w:rsidRPr="00F33C31" w:rsidRDefault="00F33C31" w:rsidP="00F33C31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31" w:rsidRPr="00F33C31" w:rsidRDefault="00F33C31" w:rsidP="000C3271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en-GB"/>
              </w:rPr>
            </w:pPr>
            <w:r w:rsidRPr="00F33C31">
              <w:rPr>
                <w:rFonts w:eastAsia="Times New Roman" w:cstheme="minorHAnsi"/>
                <w:lang w:eastAsia="en-GB"/>
              </w:rPr>
              <w:t>1043</w:t>
            </w:r>
          </w:p>
        </w:tc>
      </w:tr>
    </w:tbl>
    <w:p w:rsidR="00E137C8" w:rsidRDefault="001111CE" w:rsidP="001111CE">
      <w:pPr>
        <w:spacing w:before="240"/>
      </w:pPr>
      <w:r w:rsidRPr="00F33C31">
        <w:rPr>
          <w:rFonts w:cstheme="minorHAnsi"/>
        </w:rPr>
        <w:t>The number of families accessing 30 hours is similar to pre-COVID, however the number of eligible families is not known, so we are unable</w:t>
      </w:r>
      <w:r>
        <w:rPr>
          <w:rFonts w:cstheme="minorHAnsi"/>
        </w:rPr>
        <w:t xml:space="preserve"> to calculate the actual uptake</w:t>
      </w:r>
      <w:r w:rsidRPr="00F33C31">
        <w:rPr>
          <w:rFonts w:cstheme="minorHAnsi"/>
        </w:rPr>
        <w:t xml:space="preserve"> of extended hours.</w:t>
      </w:r>
    </w:p>
    <w:p w:rsidR="001111CE" w:rsidRDefault="001111CE" w:rsidP="00F6635E">
      <w:pPr>
        <w:spacing w:after="0"/>
        <w:rPr>
          <w:rFonts w:cstheme="minorHAnsi"/>
          <w:b/>
          <w:sz w:val="24"/>
          <w:szCs w:val="24"/>
        </w:rPr>
      </w:pPr>
    </w:p>
    <w:p w:rsidR="00475E6C" w:rsidRPr="000C3271" w:rsidRDefault="00475E6C" w:rsidP="00F6635E">
      <w:pPr>
        <w:spacing w:after="0"/>
        <w:rPr>
          <w:rFonts w:cstheme="minorHAnsi"/>
          <w:b/>
          <w:sz w:val="24"/>
          <w:szCs w:val="24"/>
        </w:rPr>
      </w:pPr>
      <w:r w:rsidRPr="000C3271">
        <w:rPr>
          <w:rFonts w:cstheme="minorHAnsi"/>
          <w:b/>
          <w:sz w:val="24"/>
          <w:szCs w:val="24"/>
        </w:rPr>
        <w:t>Plans for raising awareness and increasing uptake</w:t>
      </w:r>
    </w:p>
    <w:p w:rsidR="00475E6C" w:rsidRDefault="00F87868" w:rsidP="00475E6C">
      <w:pPr>
        <w:rPr>
          <w:rFonts w:cstheme="minorHAnsi"/>
        </w:rPr>
      </w:pPr>
      <w:r>
        <w:rPr>
          <w:rFonts w:cstheme="minorHAnsi"/>
        </w:rPr>
        <w:t>T</w:t>
      </w:r>
      <w:r w:rsidR="00475E6C" w:rsidRPr="009825E7">
        <w:rPr>
          <w:rFonts w:cstheme="minorHAnsi"/>
        </w:rPr>
        <w:t xml:space="preserve">eam capacity for this work </w:t>
      </w:r>
      <w:r>
        <w:rPr>
          <w:rFonts w:cstheme="minorHAnsi"/>
        </w:rPr>
        <w:t>was</w:t>
      </w:r>
      <w:r w:rsidR="00475E6C" w:rsidRPr="009825E7">
        <w:rPr>
          <w:rFonts w:cstheme="minorHAnsi"/>
        </w:rPr>
        <w:t xml:space="preserve"> limited over the last six m</w:t>
      </w:r>
      <w:r w:rsidR="00F6635E">
        <w:rPr>
          <w:rFonts w:cstheme="minorHAnsi"/>
        </w:rPr>
        <w:t xml:space="preserve">onths due to </w:t>
      </w:r>
      <w:r>
        <w:rPr>
          <w:rFonts w:cstheme="minorHAnsi"/>
        </w:rPr>
        <w:t xml:space="preserve">prioritising </w:t>
      </w:r>
      <w:r w:rsidR="00F6635E">
        <w:rPr>
          <w:rFonts w:cstheme="minorHAnsi"/>
        </w:rPr>
        <w:t>the demands of EYES and introducing the</w:t>
      </w:r>
      <w:r w:rsidR="00475E6C" w:rsidRPr="009825E7">
        <w:rPr>
          <w:rFonts w:cstheme="minorHAnsi"/>
        </w:rPr>
        <w:t xml:space="preserve"> new system for early year</w:t>
      </w:r>
      <w:r>
        <w:rPr>
          <w:rFonts w:cstheme="minorHAnsi"/>
        </w:rPr>
        <w:t>s</w:t>
      </w:r>
      <w:r w:rsidR="00475E6C" w:rsidRPr="009825E7">
        <w:rPr>
          <w:rFonts w:cstheme="minorHAnsi"/>
        </w:rPr>
        <w:t xml:space="preserve"> funding. </w:t>
      </w:r>
      <w:r>
        <w:rPr>
          <w:rFonts w:cstheme="minorHAnsi"/>
        </w:rPr>
        <w:t xml:space="preserve">EYES is now live, so </w:t>
      </w:r>
      <w:r w:rsidR="00475E6C" w:rsidRPr="009825E7">
        <w:rPr>
          <w:rFonts w:cstheme="minorHAnsi"/>
        </w:rPr>
        <w:t>the team will be returning their focus to improving the uptake of the entitlements.</w:t>
      </w:r>
    </w:p>
    <w:p w:rsidR="00F6635E" w:rsidRDefault="00F6635E" w:rsidP="00F6635E">
      <w:pPr>
        <w:spacing w:after="0"/>
        <w:rPr>
          <w:rFonts w:cstheme="minorHAnsi"/>
          <w:b/>
        </w:rPr>
      </w:pPr>
      <w:r w:rsidRPr="00F6635E">
        <w:rPr>
          <w:rFonts w:cstheme="minorHAnsi"/>
          <w:b/>
        </w:rPr>
        <w:t>Who is not taking the offer?</w:t>
      </w:r>
    </w:p>
    <w:p w:rsidR="00056668" w:rsidRDefault="00F6635E" w:rsidP="00475E6C">
      <w:pPr>
        <w:rPr>
          <w:rFonts w:cstheme="minorHAnsi"/>
        </w:rPr>
      </w:pPr>
      <w:r>
        <w:rPr>
          <w:rFonts w:cstheme="minorHAnsi"/>
        </w:rPr>
        <w:t>It is difficult to identify</w:t>
      </w:r>
      <w:r w:rsidR="000C3271">
        <w:rPr>
          <w:rFonts w:cstheme="minorHAnsi"/>
        </w:rPr>
        <w:t xml:space="preserve"> the groups that are not taking up the offer as these are the families that probably do not engage e</w:t>
      </w:r>
      <w:r>
        <w:rPr>
          <w:rFonts w:cstheme="minorHAnsi"/>
        </w:rPr>
        <w:t>lsewhere. DWP do not supply the ethnicity of the families potentially eligible for two year old funding</w:t>
      </w:r>
      <w:r w:rsidR="000C3271">
        <w:rPr>
          <w:rFonts w:cstheme="minorHAnsi"/>
        </w:rPr>
        <w:t xml:space="preserve">. </w:t>
      </w:r>
    </w:p>
    <w:p w:rsidR="000C3271" w:rsidRPr="00F6635E" w:rsidRDefault="000C3271" w:rsidP="00475E6C">
      <w:pPr>
        <w:rPr>
          <w:rFonts w:cstheme="minorHAnsi"/>
          <w:b/>
        </w:rPr>
      </w:pPr>
      <w:r>
        <w:rPr>
          <w:rFonts w:cstheme="minorHAnsi"/>
        </w:rPr>
        <w:t>Pre</w:t>
      </w:r>
      <w:r w:rsidR="00F6635E">
        <w:rPr>
          <w:rFonts w:cstheme="minorHAnsi"/>
        </w:rPr>
        <w:t>-</w:t>
      </w:r>
      <w:proofErr w:type="spellStart"/>
      <w:r w:rsidR="00F6635E">
        <w:rPr>
          <w:rFonts w:cstheme="minorHAnsi"/>
        </w:rPr>
        <w:t>c</w:t>
      </w:r>
      <w:r>
        <w:rPr>
          <w:rFonts w:cstheme="minorHAnsi"/>
        </w:rPr>
        <w:t>ovid</w:t>
      </w:r>
      <w:proofErr w:type="spellEnd"/>
      <w:r>
        <w:rPr>
          <w:rFonts w:cstheme="minorHAnsi"/>
        </w:rPr>
        <w:t xml:space="preserve"> BI data indicate</w:t>
      </w:r>
      <w:r w:rsidR="0057437C">
        <w:rPr>
          <w:rFonts w:cstheme="minorHAnsi"/>
        </w:rPr>
        <w:t>d that Polish, Romanian and Hindu speaking children were less likely to attend a p</w:t>
      </w:r>
      <w:r w:rsidR="00F6635E">
        <w:rPr>
          <w:rFonts w:cstheme="minorHAnsi"/>
        </w:rPr>
        <w:t>reschool setting and flyers have been translated in to these languages.</w:t>
      </w:r>
    </w:p>
    <w:p w:rsidR="008D4F7F" w:rsidRPr="00056668" w:rsidRDefault="00D038B9" w:rsidP="00475E6C">
      <w:pPr>
        <w:rPr>
          <w:rFonts w:cstheme="minorHAnsi"/>
        </w:rPr>
      </w:pPr>
      <w:r>
        <w:rPr>
          <w:rFonts w:cstheme="minorHAnsi"/>
        </w:rPr>
        <w:t xml:space="preserve">January headcount data is </w:t>
      </w:r>
      <w:r w:rsidR="00E137C8">
        <w:rPr>
          <w:rFonts w:cstheme="minorHAnsi"/>
        </w:rPr>
        <w:t>currently</w:t>
      </w:r>
      <w:r>
        <w:rPr>
          <w:rFonts w:cstheme="minorHAnsi"/>
        </w:rPr>
        <w:t xml:space="preserve"> being </w:t>
      </w:r>
      <w:r w:rsidR="00E137C8">
        <w:rPr>
          <w:rFonts w:cstheme="minorHAnsi"/>
        </w:rPr>
        <w:t>analysed</w:t>
      </w:r>
      <w:r>
        <w:rPr>
          <w:rFonts w:cstheme="minorHAnsi"/>
        </w:rPr>
        <w:t xml:space="preserve"> to identify any ethnic groups that are </w:t>
      </w:r>
      <w:r w:rsidR="00E137C8">
        <w:rPr>
          <w:rFonts w:cstheme="minorHAnsi"/>
        </w:rPr>
        <w:t>underrepresented</w:t>
      </w:r>
      <w:r>
        <w:rPr>
          <w:rFonts w:cstheme="minorHAnsi"/>
        </w:rPr>
        <w:t xml:space="preserve"> withi</w:t>
      </w:r>
      <w:r w:rsidR="00F6635E">
        <w:rPr>
          <w:rFonts w:cstheme="minorHAnsi"/>
        </w:rPr>
        <w:t xml:space="preserve">n early </w:t>
      </w:r>
      <w:proofErr w:type="gramStart"/>
      <w:r w:rsidR="00F6635E">
        <w:rPr>
          <w:rFonts w:cstheme="minorHAnsi"/>
        </w:rPr>
        <w:t>years</w:t>
      </w:r>
      <w:proofErr w:type="gramEnd"/>
      <w:r w:rsidR="00F6635E">
        <w:rPr>
          <w:rFonts w:cstheme="minorHAnsi"/>
        </w:rPr>
        <w:t xml:space="preserve"> settings. This will</w:t>
      </w:r>
      <w:r>
        <w:rPr>
          <w:rFonts w:cstheme="minorHAnsi"/>
        </w:rPr>
        <w:t xml:space="preserve"> only be an indication as </w:t>
      </w:r>
      <w:r w:rsidR="00F6635E">
        <w:rPr>
          <w:rFonts w:cstheme="minorHAnsi"/>
        </w:rPr>
        <w:t xml:space="preserve">early entitlement </w:t>
      </w:r>
      <w:r w:rsidR="00911C69">
        <w:rPr>
          <w:rFonts w:cstheme="minorHAnsi"/>
        </w:rPr>
        <w:t>uptake</w:t>
      </w:r>
      <w:r>
        <w:rPr>
          <w:rFonts w:cstheme="minorHAnsi"/>
        </w:rPr>
        <w:t xml:space="preserve"> percentages also includes </w:t>
      </w:r>
      <w:r w:rsidR="00E137C8">
        <w:rPr>
          <w:rFonts w:cstheme="minorHAnsi"/>
        </w:rPr>
        <w:t>maintained settings and reception classes so a wider BI study would be needed t</w:t>
      </w:r>
      <w:r w:rsidR="00056668">
        <w:rPr>
          <w:rFonts w:cstheme="minorHAnsi"/>
        </w:rPr>
        <w:t>o give a more accurate analysis.</w:t>
      </w:r>
    </w:p>
    <w:p w:rsidR="000C3271" w:rsidRPr="000C3271" w:rsidRDefault="000C3271" w:rsidP="00475E6C">
      <w:pPr>
        <w:rPr>
          <w:rFonts w:cstheme="minorHAnsi"/>
          <w:b/>
          <w:sz w:val="24"/>
          <w:szCs w:val="24"/>
        </w:rPr>
      </w:pPr>
      <w:r w:rsidRPr="000C3271">
        <w:rPr>
          <w:rFonts w:cstheme="minorHAnsi"/>
          <w:b/>
          <w:sz w:val="24"/>
          <w:szCs w:val="24"/>
        </w:rPr>
        <w:t>Action plan</w:t>
      </w:r>
    </w:p>
    <w:p w:rsidR="00475E6C" w:rsidRPr="000C3271" w:rsidRDefault="00475E6C" w:rsidP="00475E6C">
      <w:pPr>
        <w:rPr>
          <w:rFonts w:cstheme="minorHAnsi"/>
          <w:b/>
        </w:rPr>
      </w:pPr>
      <w:r w:rsidRPr="000C3271">
        <w:rPr>
          <w:rFonts w:cstheme="minorHAnsi"/>
          <w:b/>
        </w:rPr>
        <w:t>DWP lists</w:t>
      </w:r>
    </w:p>
    <w:p w:rsidR="00475E6C" w:rsidRPr="009825E7" w:rsidRDefault="00475E6C" w:rsidP="00475E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825E7">
        <w:rPr>
          <w:rFonts w:asciiTheme="minorHAnsi" w:hAnsiTheme="minorHAnsi" w:cstheme="minorHAnsi"/>
        </w:rPr>
        <w:t>The use of SMS messages to DWP lis</w:t>
      </w:r>
      <w:r w:rsidR="00F6635E">
        <w:rPr>
          <w:rFonts w:asciiTheme="minorHAnsi" w:hAnsiTheme="minorHAnsi" w:cstheme="minorHAnsi"/>
        </w:rPr>
        <w:t>t families – currently using</w:t>
      </w:r>
      <w:r w:rsidRPr="009825E7">
        <w:rPr>
          <w:rFonts w:asciiTheme="minorHAnsi" w:hAnsiTheme="minorHAnsi" w:cstheme="minorHAnsi"/>
        </w:rPr>
        <w:t xml:space="preserve"> the go</w:t>
      </w:r>
      <w:r w:rsidR="00F6635E">
        <w:rPr>
          <w:rFonts w:asciiTheme="minorHAnsi" w:hAnsiTheme="minorHAnsi" w:cstheme="minorHAnsi"/>
        </w:rPr>
        <w:t xml:space="preserve">vernment service Notify  - </w:t>
      </w:r>
      <w:r w:rsidR="00F6635E" w:rsidRPr="00F6635E">
        <w:rPr>
          <w:rFonts w:asciiTheme="minorHAnsi" w:hAnsiTheme="minorHAnsi" w:cstheme="minorHAnsi"/>
          <w:b/>
        </w:rPr>
        <w:t>May 2023</w:t>
      </w:r>
    </w:p>
    <w:p w:rsidR="00475E6C" w:rsidRPr="009825E7" w:rsidRDefault="00F6635E" w:rsidP="00475E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Development of</w:t>
      </w:r>
      <w:r w:rsidR="00475E6C" w:rsidRPr="009825E7">
        <w:rPr>
          <w:rFonts w:asciiTheme="minorHAnsi" w:hAnsiTheme="minorHAnsi" w:cstheme="minorHAnsi"/>
        </w:rPr>
        <w:t xml:space="preserve"> emails to the DWP list families</w:t>
      </w:r>
      <w:r>
        <w:rPr>
          <w:rFonts w:asciiTheme="minorHAnsi" w:hAnsiTheme="minorHAnsi" w:cstheme="minorHAnsi"/>
        </w:rPr>
        <w:t>, vary focus</w:t>
      </w:r>
      <w:r w:rsidR="00C52CEB">
        <w:rPr>
          <w:rFonts w:asciiTheme="minorHAnsi" w:hAnsiTheme="minorHAnsi" w:cstheme="minorHAnsi"/>
        </w:rPr>
        <w:t xml:space="preserve"> of email to include language and communication</w:t>
      </w:r>
      <w:r>
        <w:rPr>
          <w:rFonts w:asciiTheme="minorHAnsi" w:hAnsiTheme="minorHAnsi" w:cstheme="minorHAnsi"/>
        </w:rPr>
        <w:t xml:space="preserve">, education and childcare enabling parents to work or study – </w:t>
      </w:r>
      <w:r w:rsidRPr="00F6635E">
        <w:rPr>
          <w:rFonts w:asciiTheme="minorHAnsi" w:hAnsiTheme="minorHAnsi" w:cstheme="minorHAnsi"/>
          <w:b/>
        </w:rPr>
        <w:t>June 2023</w:t>
      </w:r>
    </w:p>
    <w:p w:rsidR="00475E6C" w:rsidRPr="009825E7" w:rsidRDefault="00475E6C" w:rsidP="00475E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825E7">
        <w:rPr>
          <w:rFonts w:asciiTheme="minorHAnsi" w:hAnsiTheme="minorHAnsi" w:cstheme="minorHAnsi"/>
        </w:rPr>
        <w:t>Continued use of Golden Tickets</w:t>
      </w:r>
      <w:r w:rsidR="00F6635E">
        <w:rPr>
          <w:rFonts w:asciiTheme="minorHAnsi" w:hAnsiTheme="minorHAnsi" w:cstheme="minorHAnsi"/>
        </w:rPr>
        <w:t xml:space="preserve"> – </w:t>
      </w:r>
      <w:r w:rsidR="00F6635E" w:rsidRPr="00F6635E">
        <w:rPr>
          <w:rFonts w:asciiTheme="minorHAnsi" w:hAnsiTheme="minorHAnsi" w:cstheme="minorHAnsi"/>
          <w:b/>
        </w:rPr>
        <w:t>April &amp; June 2023</w:t>
      </w:r>
    </w:p>
    <w:p w:rsidR="00475E6C" w:rsidRPr="009825E7" w:rsidRDefault="00475E6C" w:rsidP="00475E6C">
      <w:pPr>
        <w:rPr>
          <w:rFonts w:cstheme="minorHAnsi"/>
        </w:rPr>
      </w:pPr>
    </w:p>
    <w:p w:rsidR="00475E6C" w:rsidRPr="000C3271" w:rsidRDefault="00475E6C" w:rsidP="00475E6C">
      <w:pPr>
        <w:rPr>
          <w:rFonts w:cstheme="minorHAnsi"/>
          <w:b/>
        </w:rPr>
      </w:pPr>
      <w:r w:rsidRPr="000C3271">
        <w:rPr>
          <w:rFonts w:cstheme="minorHAnsi"/>
          <w:b/>
        </w:rPr>
        <w:t>Partner working</w:t>
      </w:r>
    </w:p>
    <w:p w:rsidR="00475E6C" w:rsidRPr="009825E7" w:rsidRDefault="00475E6C" w:rsidP="00475E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825E7">
        <w:rPr>
          <w:rFonts w:asciiTheme="minorHAnsi" w:hAnsiTheme="minorHAnsi" w:cstheme="minorHAnsi"/>
        </w:rPr>
        <w:t xml:space="preserve">Meeting held with Foster Team (Jan 2023) – information shared for newsletters and offer of team meeting attendance. Change of leadership – revisit </w:t>
      </w:r>
      <w:r w:rsidRPr="00F6635E">
        <w:rPr>
          <w:rFonts w:asciiTheme="minorHAnsi" w:hAnsiTheme="minorHAnsi" w:cstheme="minorHAnsi"/>
          <w:b/>
        </w:rPr>
        <w:t>May 2023</w:t>
      </w:r>
    </w:p>
    <w:p w:rsidR="00475E6C" w:rsidRPr="009825E7" w:rsidRDefault="00475E6C" w:rsidP="00475E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825E7">
        <w:rPr>
          <w:rFonts w:asciiTheme="minorHAnsi" w:hAnsiTheme="minorHAnsi" w:cstheme="minorHAnsi"/>
        </w:rPr>
        <w:t xml:space="preserve">Meeting with Family </w:t>
      </w:r>
      <w:r w:rsidR="00F6635E">
        <w:rPr>
          <w:rFonts w:asciiTheme="minorHAnsi" w:hAnsiTheme="minorHAnsi" w:cstheme="minorHAnsi"/>
        </w:rPr>
        <w:t xml:space="preserve">Partnership Service </w:t>
      </w:r>
      <w:r w:rsidRPr="009825E7">
        <w:rPr>
          <w:rFonts w:asciiTheme="minorHAnsi" w:hAnsiTheme="minorHAnsi" w:cstheme="minorHAnsi"/>
        </w:rPr>
        <w:t xml:space="preserve"> – FPS arranging a coffee morning with faith leaders with the focus of early years entitlements</w:t>
      </w:r>
      <w:r w:rsidR="001D6B40">
        <w:rPr>
          <w:rFonts w:asciiTheme="minorHAnsi" w:hAnsiTheme="minorHAnsi" w:cstheme="minorHAnsi"/>
        </w:rPr>
        <w:t>, information provided for service newsletter</w:t>
      </w:r>
      <w:bookmarkStart w:id="0" w:name="_GoBack"/>
      <w:bookmarkEnd w:id="0"/>
      <w:r w:rsidR="00F6635E">
        <w:rPr>
          <w:rFonts w:asciiTheme="minorHAnsi" w:hAnsiTheme="minorHAnsi" w:cstheme="minorHAnsi"/>
        </w:rPr>
        <w:t xml:space="preserve"> – </w:t>
      </w:r>
      <w:r w:rsidR="00F6635E" w:rsidRPr="00F6635E">
        <w:rPr>
          <w:rFonts w:asciiTheme="minorHAnsi" w:hAnsiTheme="minorHAnsi" w:cstheme="minorHAnsi"/>
          <w:b/>
        </w:rPr>
        <w:t>April 2023</w:t>
      </w:r>
    </w:p>
    <w:p w:rsidR="00475E6C" w:rsidRPr="00911C69" w:rsidRDefault="00475E6C" w:rsidP="00475E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825E7">
        <w:rPr>
          <w:rFonts w:asciiTheme="minorHAnsi" w:hAnsiTheme="minorHAnsi" w:cstheme="minorHAnsi"/>
        </w:rPr>
        <w:t>Sessions with Flying Start</w:t>
      </w:r>
      <w:r w:rsidR="00E137C8">
        <w:rPr>
          <w:rFonts w:asciiTheme="minorHAnsi" w:hAnsiTheme="minorHAnsi" w:cstheme="minorHAnsi"/>
        </w:rPr>
        <w:t xml:space="preserve"> being arranged </w:t>
      </w:r>
      <w:r w:rsidRPr="009825E7">
        <w:rPr>
          <w:rFonts w:asciiTheme="minorHAnsi" w:hAnsiTheme="minorHAnsi" w:cstheme="minorHAnsi"/>
        </w:rPr>
        <w:t xml:space="preserve"> to share funding information with new starters and volunteers</w:t>
      </w:r>
      <w:r w:rsidR="00037ECB">
        <w:rPr>
          <w:rFonts w:asciiTheme="minorHAnsi" w:hAnsiTheme="minorHAnsi" w:cstheme="minorHAnsi"/>
        </w:rPr>
        <w:t xml:space="preserve"> – </w:t>
      </w:r>
      <w:r w:rsidR="00037ECB" w:rsidRPr="00037ECB">
        <w:rPr>
          <w:rFonts w:asciiTheme="minorHAnsi" w:hAnsiTheme="minorHAnsi" w:cstheme="minorHAnsi"/>
          <w:b/>
        </w:rPr>
        <w:t>summer term 2023</w:t>
      </w:r>
    </w:p>
    <w:p w:rsidR="00911C69" w:rsidRPr="00911C69" w:rsidRDefault="00911C69" w:rsidP="00475E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11C69">
        <w:rPr>
          <w:rFonts w:asciiTheme="minorHAnsi" w:hAnsiTheme="minorHAnsi" w:cstheme="minorHAnsi"/>
        </w:rPr>
        <w:t>Previously part of the social care academy induction – awaiting information on revised approach</w:t>
      </w:r>
    </w:p>
    <w:p w:rsidR="00475E6C" w:rsidRDefault="00475E6C" w:rsidP="00475E6C">
      <w:pPr>
        <w:rPr>
          <w:rFonts w:cstheme="minorHAnsi"/>
        </w:rPr>
      </w:pPr>
    </w:p>
    <w:p w:rsidR="00D038B9" w:rsidRPr="00D038B9" w:rsidRDefault="00D038B9" w:rsidP="00475E6C">
      <w:pPr>
        <w:rPr>
          <w:rFonts w:cstheme="minorHAnsi"/>
          <w:b/>
        </w:rPr>
      </w:pPr>
      <w:r w:rsidRPr="00D038B9">
        <w:rPr>
          <w:rFonts w:cstheme="minorHAnsi"/>
          <w:b/>
        </w:rPr>
        <w:t>Marketing and awareness</w:t>
      </w:r>
    </w:p>
    <w:p w:rsidR="00D038B9" w:rsidRPr="00D038B9" w:rsidRDefault="00D038B9" w:rsidP="00D038B9">
      <w:pPr>
        <w:pStyle w:val="ListParagraph"/>
        <w:numPr>
          <w:ilvl w:val="0"/>
          <w:numId w:val="7"/>
        </w:numPr>
        <w:rPr>
          <w:rFonts w:cstheme="minorHAnsi"/>
        </w:rPr>
      </w:pPr>
      <w:r w:rsidRPr="00D038B9">
        <w:rPr>
          <w:rFonts w:cstheme="minorHAnsi"/>
        </w:rPr>
        <w:t xml:space="preserve">100 </w:t>
      </w:r>
      <w:r w:rsidR="00911C69">
        <w:rPr>
          <w:rFonts w:cstheme="minorHAnsi"/>
        </w:rPr>
        <w:t xml:space="preserve">childcare </w:t>
      </w:r>
      <w:r w:rsidRPr="00D038B9">
        <w:rPr>
          <w:rFonts w:cstheme="minorHAnsi"/>
        </w:rPr>
        <w:t>banners have been printed – 75 for settings and 25 for display at parks or meeting places</w:t>
      </w:r>
      <w:r w:rsidR="00037ECB">
        <w:rPr>
          <w:rFonts w:cstheme="minorHAnsi"/>
        </w:rPr>
        <w:t xml:space="preserve"> – May/June 2023</w:t>
      </w:r>
    </w:p>
    <w:p w:rsidR="00D038B9" w:rsidRPr="00037ECB" w:rsidRDefault="00D038B9" w:rsidP="00D038B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038B9">
        <w:rPr>
          <w:rFonts w:cstheme="minorHAnsi"/>
        </w:rPr>
        <w:t>Flyers in Ro</w:t>
      </w:r>
      <w:r w:rsidR="00037ECB">
        <w:rPr>
          <w:rFonts w:cstheme="minorHAnsi"/>
        </w:rPr>
        <w:t>manian, Polish and Hindu printed</w:t>
      </w:r>
      <w:r w:rsidRPr="00D038B9">
        <w:rPr>
          <w:rFonts w:cstheme="minorHAnsi"/>
        </w:rPr>
        <w:t xml:space="preserve"> for use at coffee mornings and Picnic in the Park</w:t>
      </w:r>
      <w:r w:rsidR="00037ECB">
        <w:rPr>
          <w:rFonts w:cstheme="minorHAnsi"/>
        </w:rPr>
        <w:t xml:space="preserve"> – 21 June 2023</w:t>
      </w:r>
    </w:p>
    <w:p w:rsidR="00037ECB" w:rsidRPr="00037ECB" w:rsidRDefault="00037ECB" w:rsidP="00D038B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Social media posts promoting entitlements shared with partners</w:t>
      </w:r>
    </w:p>
    <w:p w:rsidR="00074876" w:rsidRDefault="00037ECB" w:rsidP="003465F6">
      <w:pPr>
        <w:pStyle w:val="ListParagraph"/>
        <w:numPr>
          <w:ilvl w:val="0"/>
          <w:numId w:val="7"/>
        </w:numPr>
        <w:shd w:val="clear" w:color="auto" w:fill="FFFFFF"/>
        <w:spacing w:after="300"/>
        <w:outlineLvl w:val="2"/>
        <w:rPr>
          <w:rFonts w:eastAsia="Times New Roman" w:cstheme="minorHAnsi"/>
          <w:bCs/>
          <w:color w:val="0B0C0C"/>
          <w:lang w:eastAsia="en-GB"/>
        </w:rPr>
      </w:pPr>
      <w:r w:rsidRPr="00037ECB">
        <w:rPr>
          <w:rFonts w:eastAsia="Times New Roman" w:cstheme="minorHAnsi"/>
          <w:bCs/>
          <w:color w:val="0B0C0C"/>
          <w:lang w:eastAsia="en-GB"/>
        </w:rPr>
        <w:t xml:space="preserve">Raising awareness of Tax free Childcare to support families – currently engaged in a </w:t>
      </w:r>
      <w:proofErr w:type="spellStart"/>
      <w:r w:rsidRPr="00037ECB">
        <w:rPr>
          <w:rFonts w:eastAsia="Times New Roman" w:cstheme="minorHAnsi"/>
          <w:bCs/>
          <w:color w:val="0B0C0C"/>
          <w:lang w:eastAsia="en-GB"/>
        </w:rPr>
        <w:t>DfE</w:t>
      </w:r>
      <w:proofErr w:type="spellEnd"/>
      <w:r w:rsidRPr="00037ECB">
        <w:rPr>
          <w:rFonts w:eastAsia="Times New Roman" w:cstheme="minorHAnsi"/>
          <w:bCs/>
          <w:color w:val="0B0C0C"/>
          <w:lang w:eastAsia="en-GB"/>
        </w:rPr>
        <w:t xml:space="preserve"> project</w:t>
      </w:r>
      <w:r>
        <w:rPr>
          <w:rFonts w:eastAsia="Times New Roman" w:cstheme="minorHAnsi"/>
          <w:bCs/>
          <w:color w:val="0B0C0C"/>
          <w:lang w:eastAsia="en-GB"/>
        </w:rPr>
        <w:t xml:space="preserve"> -</w:t>
      </w:r>
      <w:r w:rsidRPr="00037ECB">
        <w:rPr>
          <w:rFonts w:eastAsia="Times New Roman" w:cstheme="minorHAnsi"/>
          <w:bCs/>
          <w:color w:val="0B0C0C"/>
          <w:lang w:eastAsia="en-GB"/>
        </w:rPr>
        <w:t xml:space="preserve"> </w:t>
      </w:r>
      <w:r>
        <w:rPr>
          <w:rFonts w:eastAsia="Times New Roman" w:cstheme="minorHAnsi"/>
          <w:bCs/>
          <w:color w:val="0B0C0C"/>
          <w:lang w:eastAsia="en-GB"/>
        </w:rPr>
        <w:t>f</w:t>
      </w:r>
      <w:r w:rsidRPr="00037ECB">
        <w:rPr>
          <w:rFonts w:eastAsia="Times New Roman" w:cstheme="minorHAnsi"/>
          <w:bCs/>
          <w:color w:val="0B0C0C"/>
          <w:lang w:eastAsia="en-GB"/>
        </w:rPr>
        <w:t>lyers and posters have been printed</w:t>
      </w:r>
      <w:r>
        <w:rPr>
          <w:rFonts w:eastAsia="Times New Roman" w:cstheme="minorHAnsi"/>
          <w:bCs/>
          <w:color w:val="0B0C0C"/>
          <w:lang w:eastAsia="en-GB"/>
        </w:rPr>
        <w:t>, E-Luton promotion and social media posts shared</w:t>
      </w:r>
    </w:p>
    <w:p w:rsidR="003465F6" w:rsidRPr="00E137C8" w:rsidRDefault="00911C69" w:rsidP="003465F6">
      <w:pPr>
        <w:shd w:val="clear" w:color="auto" w:fill="FFFFFF"/>
        <w:spacing w:after="300" w:line="240" w:lineRule="auto"/>
        <w:outlineLvl w:val="2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Changes to the early entitlement offer and the potential need for new spaces</w:t>
      </w:r>
    </w:p>
    <w:p w:rsidR="003465F6" w:rsidRPr="00911C69" w:rsidRDefault="003465F6" w:rsidP="00911C6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B0C0C"/>
          <w:lang w:eastAsia="en-GB"/>
        </w:rPr>
      </w:pPr>
      <w:r w:rsidRPr="00911C69">
        <w:rPr>
          <w:rFonts w:eastAsia="Times New Roman" w:cstheme="minorHAnsi"/>
          <w:color w:val="0B0C0C"/>
          <w:lang w:eastAsia="en-GB"/>
        </w:rPr>
        <w:t>From </w:t>
      </w:r>
      <w:r w:rsidRPr="00911C69">
        <w:rPr>
          <w:rFonts w:eastAsia="Times New Roman" w:cstheme="minorHAnsi"/>
          <w:b/>
          <w:bCs/>
          <w:color w:val="0B0C0C"/>
          <w:lang w:eastAsia="en-GB"/>
        </w:rPr>
        <w:t>April 2024</w:t>
      </w:r>
      <w:r w:rsidRPr="00911C69">
        <w:rPr>
          <w:rFonts w:eastAsia="Times New Roman" w:cstheme="minorHAnsi"/>
          <w:color w:val="0B0C0C"/>
          <w:lang w:eastAsia="en-GB"/>
        </w:rPr>
        <w:t>, working parents of two-year-olds will be able to access 15 hours of free childcare.</w:t>
      </w:r>
    </w:p>
    <w:p w:rsidR="003465F6" w:rsidRPr="00911C69" w:rsidRDefault="003465F6" w:rsidP="00911C6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B0C0C"/>
          <w:lang w:eastAsia="en-GB"/>
        </w:rPr>
      </w:pPr>
      <w:r w:rsidRPr="00911C69">
        <w:rPr>
          <w:rFonts w:eastAsia="Times New Roman" w:cstheme="minorHAnsi"/>
          <w:color w:val="0B0C0C"/>
          <w:lang w:eastAsia="en-GB"/>
        </w:rPr>
        <w:t>From </w:t>
      </w:r>
      <w:r w:rsidRPr="00911C69">
        <w:rPr>
          <w:rFonts w:eastAsia="Times New Roman" w:cstheme="minorHAnsi"/>
          <w:b/>
          <w:bCs/>
          <w:color w:val="0B0C0C"/>
          <w:lang w:eastAsia="en-GB"/>
        </w:rPr>
        <w:t>September 2024</w:t>
      </w:r>
      <w:r w:rsidRPr="00911C69">
        <w:rPr>
          <w:rFonts w:eastAsia="Times New Roman" w:cstheme="minorHAnsi"/>
          <w:color w:val="0B0C0C"/>
          <w:lang w:eastAsia="en-GB"/>
        </w:rPr>
        <w:t>, 15 hours of free childcare will be extended to all children from the age of nine months.</w:t>
      </w:r>
    </w:p>
    <w:p w:rsidR="00B30EAB" w:rsidRPr="00911C69" w:rsidRDefault="003465F6" w:rsidP="00911C69">
      <w:pPr>
        <w:pStyle w:val="ListParagraph"/>
        <w:numPr>
          <w:ilvl w:val="0"/>
          <w:numId w:val="9"/>
        </w:numPr>
        <w:shd w:val="clear" w:color="auto" w:fill="FFFFFF"/>
        <w:spacing w:after="30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 w:rsidRPr="00911C69">
        <w:rPr>
          <w:rFonts w:eastAsia="Times New Roman" w:cstheme="minorHAnsi"/>
          <w:color w:val="0B0C0C"/>
          <w:lang w:eastAsia="en-GB"/>
        </w:rPr>
        <w:t>From </w:t>
      </w:r>
      <w:r w:rsidRPr="00911C69">
        <w:rPr>
          <w:rFonts w:eastAsia="Times New Roman" w:cstheme="minorHAnsi"/>
          <w:b/>
          <w:bCs/>
          <w:color w:val="0B0C0C"/>
          <w:lang w:eastAsia="en-GB"/>
        </w:rPr>
        <w:t>September 2025,</w:t>
      </w:r>
      <w:r w:rsidRPr="00911C69">
        <w:rPr>
          <w:rFonts w:eastAsia="Times New Roman" w:cstheme="minorHAnsi"/>
          <w:color w:val="0B0C0C"/>
          <w:lang w:eastAsia="en-GB"/>
        </w:rPr>
        <w:t> working parents of children under the age of five will be entitled to 30 hours free childcare per week.</w:t>
      </w:r>
      <w:r w:rsidR="00B30EAB" w:rsidRPr="00911C69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</w:t>
      </w:r>
    </w:p>
    <w:p w:rsidR="00B30EAB" w:rsidRPr="00B30EAB" w:rsidRDefault="00B30EAB" w:rsidP="00B30EA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B0C0C"/>
          <w:lang w:eastAsia="en-GB"/>
        </w:rPr>
      </w:pPr>
      <w:r>
        <w:rPr>
          <w:rFonts w:eastAsia="Times New Roman" w:cstheme="minorHAnsi"/>
          <w:b/>
          <w:color w:val="0B0C0C"/>
          <w:lang w:eastAsia="en-GB"/>
        </w:rPr>
        <w:t>Predicted numbers of eligible families</w:t>
      </w:r>
    </w:p>
    <w:p w:rsidR="00B30EAB" w:rsidRDefault="00B30EAB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>Eligibility and current</w:t>
      </w:r>
      <w:r w:rsidRPr="00074876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</w:t>
      </w:r>
      <w:r w:rsidR="00911C69">
        <w:rPr>
          <w:rFonts w:asciiTheme="minorHAnsi" w:eastAsia="Times New Roman" w:hAnsiTheme="minorHAnsi" w:cstheme="minorHAnsi"/>
          <w:bCs/>
          <w:color w:val="0B0C0C"/>
          <w:lang w:eastAsia="en-GB"/>
        </w:rPr>
        <w:t>uptake</w:t>
      </w:r>
      <w:r w:rsidRPr="00074876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of 30 hours for three and four year olds is 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currently </w:t>
      </w:r>
      <w:r w:rsidRPr="00074876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approximately 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>31</w:t>
      </w:r>
      <w:r w:rsidRPr="00074876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% 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of this age group. If the </w:t>
      </w:r>
      <w:r w:rsidR="00911C69">
        <w:rPr>
          <w:rFonts w:asciiTheme="minorHAnsi" w:eastAsia="Times New Roman" w:hAnsiTheme="minorHAnsi" w:cstheme="minorHAnsi"/>
          <w:bCs/>
          <w:color w:val="0B0C0C"/>
          <w:lang w:eastAsia="en-GB"/>
        </w:rPr>
        <w:t>uptake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was similar</w:t>
      </w:r>
      <w:r w:rsidR="00C52CEB">
        <w:rPr>
          <w:rFonts w:asciiTheme="minorHAnsi" w:eastAsia="Times New Roman" w:hAnsiTheme="minorHAnsi" w:cstheme="minorHAnsi"/>
          <w:bCs/>
          <w:color w:val="0B0C0C"/>
          <w:lang w:eastAsia="en-GB"/>
        </w:rPr>
        <w:t>,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then we could expect an additional 1,891 families to be eligible for 30 hours by September 2025. However a 31% uptake within this younger age group is probably very unlikely.</w:t>
      </w:r>
    </w:p>
    <w:p w:rsidR="00036AA4" w:rsidRDefault="00036AA4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>We need to understand the current number of working families in this age group and also how much of an incentive 15</w:t>
      </w:r>
      <w:r w:rsidR="001111CE">
        <w:rPr>
          <w:rFonts w:asciiTheme="minorHAnsi" w:eastAsia="Times New Roman" w:hAnsiTheme="minorHAnsi" w:cstheme="minorHAnsi"/>
          <w:bCs/>
          <w:color w:val="0B0C0C"/>
          <w:lang w:eastAsia="en-GB"/>
        </w:rPr>
        <w:t>,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and then 30 hours</w:t>
      </w:r>
      <w:r w:rsidR="001111CE">
        <w:rPr>
          <w:rFonts w:asciiTheme="minorHAnsi" w:eastAsia="Times New Roman" w:hAnsiTheme="minorHAnsi" w:cstheme="minorHAnsi"/>
          <w:bCs/>
          <w:color w:val="0B0C0C"/>
          <w:lang w:eastAsia="en-GB"/>
        </w:rPr>
        <w:t>, will be for parents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to work.</w:t>
      </w:r>
    </w:p>
    <w:p w:rsidR="004D78CE" w:rsidRDefault="004D78CE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We also need to identify how many families are already accessing childcare through private hours, and therefore </w:t>
      </w:r>
      <w:r w:rsidR="00C07F56">
        <w:rPr>
          <w:rFonts w:asciiTheme="minorHAnsi" w:eastAsia="Times New Roman" w:hAnsiTheme="minorHAnsi" w:cstheme="minorHAnsi"/>
          <w:bCs/>
          <w:color w:val="0B0C0C"/>
          <w:lang w:eastAsia="en-GB"/>
        </w:rPr>
        <w:t>this will not require additional places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>, just a change in funding.</w:t>
      </w:r>
    </w:p>
    <w:p w:rsidR="00036AA4" w:rsidRDefault="00036AA4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The graph below shows the </w:t>
      </w:r>
      <w:r w:rsidR="00C52CEB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potential </w:t>
      </w:r>
      <w:r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number of </w:t>
      </w:r>
      <w:r w:rsidR="00C07F56">
        <w:rPr>
          <w:rFonts w:asciiTheme="minorHAnsi" w:eastAsia="Times New Roman" w:hAnsiTheme="minorHAnsi" w:cstheme="minorHAnsi"/>
          <w:bCs/>
          <w:color w:val="0B0C0C"/>
          <w:lang w:eastAsia="en-GB"/>
        </w:rPr>
        <w:t>additional places that may be required assuming</w:t>
      </w:r>
      <w:r w:rsidR="004D78CE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</w:t>
      </w:r>
      <w:r w:rsidR="00911C69">
        <w:rPr>
          <w:rFonts w:asciiTheme="minorHAnsi" w:eastAsia="Times New Roman" w:hAnsiTheme="minorHAnsi" w:cstheme="minorHAnsi"/>
          <w:bCs/>
          <w:color w:val="0B0C0C"/>
          <w:lang w:eastAsia="en-GB"/>
        </w:rPr>
        <w:t>uptake</w:t>
      </w:r>
      <w:r w:rsidR="004D78CE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rates </w:t>
      </w:r>
      <w:r w:rsidR="00C07F56">
        <w:rPr>
          <w:rFonts w:asciiTheme="minorHAnsi" w:eastAsia="Times New Roman" w:hAnsiTheme="minorHAnsi" w:cstheme="minorHAnsi"/>
          <w:bCs/>
          <w:color w:val="0B0C0C"/>
          <w:lang w:eastAsia="en-GB"/>
        </w:rPr>
        <w:t>of</w:t>
      </w:r>
      <w:r w:rsidR="004D78CE">
        <w:rPr>
          <w:rFonts w:asciiTheme="minorHAnsi" w:eastAsia="Times New Roman" w:hAnsiTheme="minorHAnsi" w:cstheme="minorHAnsi"/>
          <w:bCs/>
          <w:color w:val="0B0C0C"/>
          <w:lang w:eastAsia="en-GB"/>
        </w:rPr>
        <w:t xml:space="preserve"> 15, 25 and 31%.</w:t>
      </w:r>
      <w:r w:rsidR="004D78CE">
        <w:rPr>
          <w:rStyle w:val="FootnoteReference"/>
          <w:rFonts w:asciiTheme="minorHAnsi" w:eastAsia="Times New Roman" w:hAnsiTheme="minorHAnsi" w:cstheme="minorHAnsi"/>
          <w:bCs/>
          <w:color w:val="0B0C0C"/>
          <w:lang w:eastAsia="en-GB"/>
        </w:rPr>
        <w:footnoteReference w:id="1"/>
      </w:r>
    </w:p>
    <w:p w:rsidR="00036AA4" w:rsidRDefault="00036AA4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>
        <w:rPr>
          <w:rFonts w:asciiTheme="minorHAnsi" w:eastAsia="Times New Roman" w:hAnsiTheme="minorHAnsi" w:cstheme="minorHAnsi"/>
          <w:bCs/>
          <w:noProof/>
          <w:color w:val="0B0C0C"/>
          <w:lang w:eastAsia="en-GB"/>
        </w:rPr>
        <w:drawing>
          <wp:inline distT="0" distB="0" distL="0" distR="0">
            <wp:extent cx="5315989" cy="3271058"/>
            <wp:effectExtent l="0" t="0" r="18415" b="57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0EAB" w:rsidRDefault="00B30EAB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The staggered approach should</w:t>
      </w:r>
      <w:r w:rsidRPr="000C3271">
        <w:rPr>
          <w:rFonts w:eastAsia="Times New Roman" w:cstheme="minorHAnsi"/>
          <w:color w:val="0B0C0C"/>
          <w:lang w:eastAsia="en-GB"/>
        </w:rPr>
        <w:t xml:space="preserve"> give </w:t>
      </w:r>
      <w:r w:rsidR="00036AA4">
        <w:rPr>
          <w:rFonts w:eastAsia="Times New Roman" w:cstheme="minorHAnsi"/>
          <w:color w:val="0B0C0C"/>
          <w:lang w:eastAsia="en-GB"/>
        </w:rPr>
        <w:t xml:space="preserve">the local authority and </w:t>
      </w:r>
      <w:r w:rsidRPr="000C3271">
        <w:rPr>
          <w:rFonts w:eastAsia="Times New Roman" w:cstheme="minorHAnsi"/>
          <w:color w:val="0B0C0C"/>
          <w:lang w:eastAsia="en-GB"/>
        </w:rPr>
        <w:t xml:space="preserve">childcare </w:t>
      </w:r>
      <w:proofErr w:type="gramStart"/>
      <w:r w:rsidRPr="000C3271">
        <w:rPr>
          <w:rFonts w:eastAsia="Times New Roman" w:cstheme="minorHAnsi"/>
          <w:color w:val="0B0C0C"/>
          <w:lang w:eastAsia="en-GB"/>
        </w:rPr>
        <w:t>providers</w:t>
      </w:r>
      <w:proofErr w:type="gramEnd"/>
      <w:r w:rsidRPr="000C3271">
        <w:rPr>
          <w:rFonts w:eastAsia="Times New Roman" w:cstheme="minorHAnsi"/>
          <w:color w:val="0B0C0C"/>
          <w:lang w:eastAsia="en-GB"/>
        </w:rPr>
        <w:t xml:space="preserve"> time to prepare for the ch</w:t>
      </w:r>
      <w:r>
        <w:rPr>
          <w:rFonts w:eastAsia="Times New Roman" w:cstheme="minorHAnsi"/>
          <w:color w:val="0B0C0C"/>
          <w:lang w:eastAsia="en-GB"/>
        </w:rPr>
        <w:t>ange</w:t>
      </w:r>
      <w:r w:rsidR="00036AA4">
        <w:rPr>
          <w:rFonts w:eastAsia="Times New Roman" w:cstheme="minorHAnsi"/>
          <w:color w:val="0B0C0C"/>
          <w:lang w:eastAsia="en-GB"/>
        </w:rPr>
        <w:t xml:space="preserve">s, and </w:t>
      </w:r>
      <w:r w:rsidRPr="000C3271">
        <w:rPr>
          <w:rFonts w:eastAsia="Times New Roman" w:cstheme="minorHAnsi"/>
          <w:color w:val="0B0C0C"/>
          <w:lang w:eastAsia="en-GB"/>
        </w:rPr>
        <w:t>to assess the supply and demand of places</w:t>
      </w:r>
      <w:r>
        <w:rPr>
          <w:rFonts w:eastAsia="Times New Roman" w:cstheme="minorHAnsi"/>
          <w:color w:val="0B0C0C"/>
          <w:lang w:eastAsia="en-GB"/>
        </w:rPr>
        <w:t>.</w:t>
      </w:r>
    </w:p>
    <w:p w:rsidR="00C44DF7" w:rsidRDefault="00C44DF7" w:rsidP="004D78CE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B0C0C"/>
          <w:lang w:eastAsia="en-GB"/>
        </w:rPr>
      </w:pPr>
    </w:p>
    <w:p w:rsidR="00B30EAB" w:rsidRPr="004D78CE" w:rsidRDefault="00B30EAB" w:rsidP="004D78CE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B0C0C"/>
          <w:lang w:eastAsia="en-GB"/>
        </w:rPr>
      </w:pPr>
      <w:r w:rsidRPr="004D78CE">
        <w:rPr>
          <w:rFonts w:eastAsia="Times New Roman" w:cstheme="minorHAnsi"/>
          <w:b/>
          <w:color w:val="0B0C0C"/>
          <w:lang w:eastAsia="en-GB"/>
        </w:rPr>
        <w:lastRenderedPageBreak/>
        <w:t>Concerns</w:t>
      </w:r>
    </w:p>
    <w:p w:rsidR="004D78CE" w:rsidRDefault="00E137C8" w:rsidP="004D78CE">
      <w:pPr>
        <w:pStyle w:val="ListParagraph"/>
        <w:numPr>
          <w:ilvl w:val="0"/>
          <w:numId w:val="6"/>
        </w:numPr>
        <w:shd w:val="clear" w:color="auto" w:fill="FFFFFF"/>
        <w:spacing w:before="240" w:after="100" w:afterAutospacing="1"/>
        <w:rPr>
          <w:rFonts w:eastAsia="Times New Roman" w:cstheme="minorHAnsi"/>
          <w:color w:val="0B0C0C"/>
          <w:lang w:eastAsia="en-GB"/>
        </w:rPr>
      </w:pPr>
      <w:r w:rsidRPr="00E137C8">
        <w:rPr>
          <w:rFonts w:eastAsia="Times New Roman" w:cstheme="minorHAnsi"/>
          <w:color w:val="0B0C0C"/>
          <w:lang w:eastAsia="en-GB"/>
        </w:rPr>
        <w:t>Expansion of settings may be restricted by the recruitment issues in the sector</w:t>
      </w:r>
    </w:p>
    <w:p w:rsidR="00C52CEB" w:rsidRPr="00C52CEB" w:rsidRDefault="004D78CE" w:rsidP="00C52CEB">
      <w:pPr>
        <w:pStyle w:val="ListParagraph"/>
        <w:numPr>
          <w:ilvl w:val="0"/>
          <w:numId w:val="6"/>
        </w:numPr>
        <w:shd w:val="clear" w:color="auto" w:fill="FFFFFF"/>
        <w:spacing w:before="240" w:after="100" w:afterAutospacing="1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Fundi</w:t>
      </w:r>
      <w:r w:rsidR="00C52CEB">
        <w:rPr>
          <w:rFonts w:eastAsia="Times New Roman" w:cstheme="minorHAnsi"/>
          <w:color w:val="0B0C0C"/>
          <w:lang w:eastAsia="en-GB"/>
        </w:rPr>
        <w:t>ng rates and support</w:t>
      </w:r>
      <w:r>
        <w:rPr>
          <w:rFonts w:eastAsia="Times New Roman" w:cstheme="minorHAnsi"/>
          <w:color w:val="0B0C0C"/>
          <w:lang w:eastAsia="en-GB"/>
        </w:rPr>
        <w:t xml:space="preserve"> needs to be sufficient to encourage providers to expand</w:t>
      </w:r>
    </w:p>
    <w:p w:rsidR="004D78CE" w:rsidRDefault="00EF4261" w:rsidP="00C52CEB">
      <w:pPr>
        <w:pStyle w:val="ListParagraph"/>
        <w:numPr>
          <w:ilvl w:val="0"/>
          <w:numId w:val="6"/>
        </w:numPr>
        <w:shd w:val="clear" w:color="auto" w:fill="FFFFFF"/>
        <w:spacing w:before="240" w:after="300"/>
        <w:outlineLvl w:val="2"/>
        <w:rPr>
          <w:rFonts w:eastAsia="Times New Roman" w:cstheme="minorHAnsi"/>
          <w:bCs/>
          <w:color w:val="0B0C0C"/>
          <w:lang w:eastAsia="en-GB"/>
        </w:rPr>
      </w:pPr>
      <w:r w:rsidRPr="004D78CE">
        <w:rPr>
          <w:rFonts w:eastAsia="Times New Roman" w:cstheme="minorHAnsi"/>
          <w:bCs/>
          <w:color w:val="0B0C0C"/>
          <w:lang w:eastAsia="en-GB"/>
        </w:rPr>
        <w:t>Most schools unlikely to want to take two year olds</w:t>
      </w:r>
      <w:r w:rsidR="00E137C8" w:rsidRPr="004D78CE">
        <w:rPr>
          <w:rFonts w:eastAsia="Times New Roman" w:cstheme="minorHAnsi"/>
          <w:bCs/>
          <w:color w:val="0B0C0C"/>
          <w:lang w:eastAsia="en-GB"/>
        </w:rPr>
        <w:t xml:space="preserve">, </w:t>
      </w:r>
      <w:r w:rsidR="00C52CEB">
        <w:rPr>
          <w:rFonts w:eastAsia="Times New Roman" w:cstheme="minorHAnsi"/>
          <w:bCs/>
          <w:color w:val="0B0C0C"/>
          <w:lang w:eastAsia="en-GB"/>
        </w:rPr>
        <w:t>but a couple have expressed a previous</w:t>
      </w:r>
      <w:r w:rsidR="00E137C8" w:rsidRPr="004D78CE">
        <w:rPr>
          <w:rFonts w:eastAsia="Times New Roman" w:cstheme="minorHAnsi"/>
          <w:bCs/>
          <w:color w:val="0B0C0C"/>
          <w:lang w:eastAsia="en-GB"/>
        </w:rPr>
        <w:t xml:space="preserve"> interest</w:t>
      </w:r>
    </w:p>
    <w:p w:rsidR="00EF4261" w:rsidRPr="004D78CE" w:rsidRDefault="00EF4261" w:rsidP="004D78CE">
      <w:pPr>
        <w:pStyle w:val="ListParagraph"/>
        <w:numPr>
          <w:ilvl w:val="0"/>
          <w:numId w:val="6"/>
        </w:numPr>
        <w:shd w:val="clear" w:color="auto" w:fill="FFFFFF"/>
        <w:spacing w:after="300"/>
        <w:outlineLvl w:val="2"/>
        <w:rPr>
          <w:rFonts w:eastAsia="Times New Roman" w:cstheme="minorHAnsi"/>
          <w:bCs/>
          <w:color w:val="0B0C0C"/>
          <w:lang w:eastAsia="en-GB"/>
        </w:rPr>
      </w:pPr>
      <w:r w:rsidRPr="004D78CE">
        <w:rPr>
          <w:rFonts w:asciiTheme="minorHAnsi" w:eastAsia="Times New Roman" w:hAnsiTheme="minorHAnsi" w:cstheme="minorHAnsi"/>
          <w:bCs/>
          <w:color w:val="0B0C0C"/>
          <w:lang w:eastAsia="en-GB"/>
        </w:rPr>
        <w:t>Resources and training will be needed to support settings caring for under 2s</w:t>
      </w:r>
    </w:p>
    <w:p w:rsidR="006427C5" w:rsidRPr="00B30EAB" w:rsidRDefault="006427C5" w:rsidP="00B30EAB">
      <w:pPr>
        <w:pStyle w:val="ListParagraph"/>
        <w:shd w:val="clear" w:color="auto" w:fill="FFFFFF"/>
        <w:spacing w:after="300"/>
        <w:ind w:left="0"/>
        <w:outlineLvl w:val="2"/>
        <w:rPr>
          <w:rFonts w:asciiTheme="minorHAnsi" w:eastAsia="Times New Roman" w:hAnsiTheme="minorHAnsi" w:cstheme="minorHAnsi"/>
          <w:b/>
          <w:bCs/>
          <w:color w:val="0B0C0C"/>
          <w:lang w:eastAsia="en-GB"/>
        </w:rPr>
      </w:pPr>
      <w:r w:rsidRPr="00B30EAB">
        <w:rPr>
          <w:rFonts w:asciiTheme="minorHAnsi" w:eastAsia="Times New Roman" w:hAnsiTheme="minorHAnsi" w:cstheme="minorHAnsi"/>
          <w:b/>
          <w:bCs/>
          <w:color w:val="0B0C0C"/>
          <w:lang w:eastAsia="en-GB"/>
        </w:rPr>
        <w:t>Action required</w:t>
      </w:r>
    </w:p>
    <w:p w:rsidR="006427C5" w:rsidRPr="00B30EAB" w:rsidRDefault="006427C5" w:rsidP="00B30EAB">
      <w:pPr>
        <w:pStyle w:val="ListParagraph"/>
        <w:numPr>
          <w:ilvl w:val="0"/>
          <w:numId w:val="8"/>
        </w:numPr>
        <w:shd w:val="clear" w:color="auto" w:fill="FFFFFF"/>
        <w:spacing w:after="300"/>
        <w:outlineLvl w:val="2"/>
        <w:rPr>
          <w:rFonts w:eastAsia="Times New Roman" w:cstheme="minorHAnsi"/>
          <w:bCs/>
          <w:color w:val="0B0C0C"/>
          <w:lang w:eastAsia="en-GB"/>
        </w:rPr>
      </w:pPr>
      <w:r w:rsidRPr="00B30EAB">
        <w:rPr>
          <w:rFonts w:eastAsia="Times New Roman" w:cstheme="minorHAnsi"/>
          <w:bCs/>
          <w:color w:val="0B0C0C"/>
          <w:lang w:eastAsia="en-GB"/>
        </w:rPr>
        <w:t>to identify how many working families within the 9 month to 3 age group already access childcare in Luton and are paying privately</w:t>
      </w:r>
      <w:r w:rsidR="004B4AC0">
        <w:rPr>
          <w:rFonts w:eastAsia="Times New Roman" w:cstheme="minorHAnsi"/>
          <w:bCs/>
          <w:color w:val="0B0C0C"/>
          <w:lang w:eastAsia="en-GB"/>
        </w:rPr>
        <w:t xml:space="preserve"> – </w:t>
      </w:r>
      <w:r w:rsidR="004B4AC0" w:rsidRPr="004B4AC0">
        <w:rPr>
          <w:rFonts w:eastAsia="Times New Roman" w:cstheme="minorHAnsi"/>
          <w:b/>
          <w:bCs/>
          <w:color w:val="0B0C0C"/>
          <w:lang w:eastAsia="en-GB"/>
        </w:rPr>
        <w:t>Summer 2023</w:t>
      </w:r>
    </w:p>
    <w:p w:rsidR="00B30EAB" w:rsidRPr="004B4AC0" w:rsidRDefault="00B30EAB" w:rsidP="00B30EAB">
      <w:pPr>
        <w:pStyle w:val="ListParagraph"/>
        <w:numPr>
          <w:ilvl w:val="0"/>
          <w:numId w:val="8"/>
        </w:numPr>
        <w:shd w:val="clear" w:color="auto" w:fill="FFFFFF"/>
        <w:spacing w:after="300"/>
        <w:outlineLvl w:val="2"/>
        <w:rPr>
          <w:rFonts w:eastAsia="Times New Roman" w:cstheme="minorHAnsi"/>
          <w:b/>
          <w:bCs/>
          <w:color w:val="0B0C0C"/>
          <w:lang w:eastAsia="en-GB"/>
        </w:rPr>
      </w:pPr>
      <w:r w:rsidRPr="00B30EAB">
        <w:rPr>
          <w:rFonts w:eastAsia="Times New Roman" w:cstheme="minorHAnsi"/>
          <w:bCs/>
          <w:color w:val="0B0C0C"/>
          <w:lang w:eastAsia="en-GB"/>
        </w:rPr>
        <w:t>Conversations to start with providers regarding stretched offer and potential to create more space from April 2024 – network meetings and individual discussions will be offered</w:t>
      </w:r>
      <w:r w:rsidR="004B4AC0">
        <w:rPr>
          <w:rFonts w:eastAsia="Times New Roman" w:cstheme="minorHAnsi"/>
          <w:bCs/>
          <w:color w:val="0B0C0C"/>
          <w:lang w:eastAsia="en-GB"/>
        </w:rPr>
        <w:t xml:space="preserve"> – </w:t>
      </w:r>
      <w:r w:rsidR="004B4AC0" w:rsidRPr="004B4AC0">
        <w:rPr>
          <w:rFonts w:eastAsia="Times New Roman" w:cstheme="minorHAnsi"/>
          <w:b/>
          <w:bCs/>
          <w:color w:val="0B0C0C"/>
          <w:lang w:eastAsia="en-GB"/>
        </w:rPr>
        <w:t>May 2024</w:t>
      </w:r>
    </w:p>
    <w:p w:rsidR="006427C5" w:rsidRPr="00074876" w:rsidRDefault="006427C5" w:rsidP="00074876">
      <w:pPr>
        <w:pStyle w:val="ListParagraph"/>
        <w:shd w:val="clear" w:color="auto" w:fill="FFFFFF"/>
        <w:spacing w:after="300"/>
        <w:ind w:left="360"/>
        <w:outlineLvl w:val="2"/>
        <w:rPr>
          <w:rFonts w:asciiTheme="minorHAnsi" w:eastAsia="Times New Roman" w:hAnsiTheme="minorHAnsi" w:cstheme="minorHAnsi"/>
          <w:bCs/>
          <w:color w:val="0B0C0C"/>
          <w:lang w:eastAsia="en-GB"/>
        </w:rPr>
      </w:pPr>
    </w:p>
    <w:p w:rsidR="008C50C2" w:rsidRPr="009825E7" w:rsidRDefault="008C50C2">
      <w:pPr>
        <w:rPr>
          <w:rFonts w:cstheme="minorHAnsi"/>
        </w:rPr>
      </w:pPr>
    </w:p>
    <w:p w:rsidR="008C50C2" w:rsidRPr="009825E7" w:rsidRDefault="008C50C2">
      <w:pPr>
        <w:rPr>
          <w:rFonts w:cstheme="minorHAnsi"/>
        </w:rPr>
      </w:pPr>
    </w:p>
    <w:sectPr w:rsidR="008C50C2" w:rsidRPr="0098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CE" w:rsidRDefault="004D78CE" w:rsidP="004D78CE">
      <w:pPr>
        <w:spacing w:after="0" w:line="240" w:lineRule="auto"/>
      </w:pPr>
      <w:r>
        <w:separator/>
      </w:r>
    </w:p>
  </w:endnote>
  <w:endnote w:type="continuationSeparator" w:id="0">
    <w:p w:rsidR="004D78CE" w:rsidRDefault="004D78CE" w:rsidP="004D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CE" w:rsidRDefault="004D78CE" w:rsidP="004D78CE">
      <w:pPr>
        <w:spacing w:after="0" w:line="240" w:lineRule="auto"/>
      </w:pPr>
      <w:r>
        <w:separator/>
      </w:r>
    </w:p>
  </w:footnote>
  <w:footnote w:type="continuationSeparator" w:id="0">
    <w:p w:rsidR="004D78CE" w:rsidRDefault="004D78CE" w:rsidP="004D78CE">
      <w:pPr>
        <w:spacing w:after="0" w:line="240" w:lineRule="auto"/>
      </w:pPr>
      <w:r>
        <w:continuationSeparator/>
      </w:r>
    </w:p>
  </w:footnote>
  <w:footnote w:id="1">
    <w:p w:rsidR="004D78CE" w:rsidRDefault="004D78CE">
      <w:pPr>
        <w:pStyle w:val="FootnoteText"/>
      </w:pPr>
      <w:r>
        <w:rPr>
          <w:rStyle w:val="FootnoteReference"/>
        </w:rPr>
        <w:footnoteRef/>
      </w:r>
      <w:r>
        <w:t xml:space="preserve"> Data assumes 3,200 children in each age group – less 1,100 DWP for 2 year olds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C09"/>
    <w:multiLevelType w:val="hybridMultilevel"/>
    <w:tmpl w:val="B15CC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A02"/>
    <w:multiLevelType w:val="hybridMultilevel"/>
    <w:tmpl w:val="319C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1D11"/>
    <w:multiLevelType w:val="hybridMultilevel"/>
    <w:tmpl w:val="BCE8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4C1F"/>
    <w:multiLevelType w:val="hybridMultilevel"/>
    <w:tmpl w:val="2748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5C3F"/>
    <w:multiLevelType w:val="hybridMultilevel"/>
    <w:tmpl w:val="542C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10E5"/>
    <w:multiLevelType w:val="hybridMultilevel"/>
    <w:tmpl w:val="5070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6253"/>
    <w:multiLevelType w:val="hybridMultilevel"/>
    <w:tmpl w:val="0B50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7E6D"/>
    <w:multiLevelType w:val="hybridMultilevel"/>
    <w:tmpl w:val="D160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A0171"/>
    <w:multiLevelType w:val="hybridMultilevel"/>
    <w:tmpl w:val="0664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31"/>
    <w:rsid w:val="00036AA4"/>
    <w:rsid w:val="00037ECB"/>
    <w:rsid w:val="00056668"/>
    <w:rsid w:val="00074876"/>
    <w:rsid w:val="00095A8C"/>
    <w:rsid w:val="000C3271"/>
    <w:rsid w:val="000E0839"/>
    <w:rsid w:val="001111CE"/>
    <w:rsid w:val="001D6B40"/>
    <w:rsid w:val="003465F6"/>
    <w:rsid w:val="00475E6C"/>
    <w:rsid w:val="004B4AC0"/>
    <w:rsid w:val="004B6365"/>
    <w:rsid w:val="004D78CE"/>
    <w:rsid w:val="005702CF"/>
    <w:rsid w:val="0057437C"/>
    <w:rsid w:val="005A4E05"/>
    <w:rsid w:val="006427C5"/>
    <w:rsid w:val="008C50C2"/>
    <w:rsid w:val="008D4F7F"/>
    <w:rsid w:val="00911C69"/>
    <w:rsid w:val="009825E7"/>
    <w:rsid w:val="0099581D"/>
    <w:rsid w:val="00B30EAB"/>
    <w:rsid w:val="00C07F56"/>
    <w:rsid w:val="00C44DF7"/>
    <w:rsid w:val="00C52CEB"/>
    <w:rsid w:val="00C907E0"/>
    <w:rsid w:val="00D038B9"/>
    <w:rsid w:val="00E137C8"/>
    <w:rsid w:val="00EF4261"/>
    <w:rsid w:val="00F33C31"/>
    <w:rsid w:val="00F6635E"/>
    <w:rsid w:val="00F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4D74"/>
  <w15:chartTrackingRefBased/>
  <w15:docId w15:val="{C9C8EA1A-3540-4DBA-9A6A-A19228F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1D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B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7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none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en-GB" cap="none">
                <a:latin typeface="+mn-lt"/>
              </a:rPr>
              <a:t>Luton early education entitlement uptake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none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 year old funding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</c:v>
                </c:pt>
                <c:pt idx="1">
                  <c:v>50</c:v>
                </c:pt>
                <c:pt idx="2">
                  <c:v>65</c:v>
                </c:pt>
                <c:pt idx="3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E7-4210-902D-AC09FCF4D9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Universal funding</c:v>
                </c:pt>
              </c:strCache>
            </c:strRef>
          </c:tx>
          <c:spPr>
            <a:ln w="19050" cap="rnd" cmpd="sng" algn="ctr">
              <a:solidFill>
                <a:schemeClr val="accent5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88</c:v>
                </c:pt>
                <c:pt idx="1">
                  <c:v>86</c:v>
                </c:pt>
                <c:pt idx="2">
                  <c:v>90</c:v>
                </c:pt>
                <c:pt idx="3">
                  <c:v>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E7-4210-902D-AC09FCF4D9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01040"/>
        <c:axId val="459699400"/>
      </c:lineChart>
      <c:catAx>
        <c:axId val="45970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9699400"/>
        <c:crosses val="autoZero"/>
        <c:auto val="1"/>
        <c:lblAlgn val="ctr"/>
        <c:lblOffset val="100"/>
        <c:noMultiLvlLbl val="0"/>
      </c:catAx>
      <c:valAx>
        <c:axId val="459699400"/>
        <c:scaling>
          <c:orientation val="minMax"/>
          <c:min val="40"/>
        </c:scaling>
        <c:delete val="1"/>
        <c:axPos val="l"/>
        <c:numFmt formatCode="General" sourceLinked="1"/>
        <c:majorTickMark val="none"/>
        <c:minorTickMark val="none"/>
        <c:tickLblPos val="nextTo"/>
        <c:crossAx val="45970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none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en-US" cap="none">
                <a:latin typeface="+mn-lt"/>
              </a:rPr>
              <a:t>Estimated number of places required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none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31%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45536</c:v>
                </c:pt>
                <c:pt idx="2">
                  <c:v>45901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651</c:v>
                </c:pt>
                <c:pt idx="1">
                  <c:v>1240</c:v>
                </c:pt>
                <c:pt idx="2">
                  <c:v>1891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88-4696-A533-1350CD6842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25%</c:v>
                </c:pt>
              </c:strCache>
            </c:strRef>
          </c:tx>
          <c:spPr>
            <a:ln w="19050" cap="rnd" cmpd="sng" algn="ctr">
              <a:solidFill>
                <a:schemeClr val="accent5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45536</c:v>
                </c:pt>
                <c:pt idx="2">
                  <c:v>45901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525</c:v>
                </c:pt>
                <c:pt idx="1">
                  <c:v>1000</c:v>
                </c:pt>
                <c:pt idx="2">
                  <c:v>1525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88-4696-A533-1350CD6842D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15%</c:v>
                </c:pt>
              </c:strCache>
            </c:strRef>
          </c:tx>
          <c:spPr>
            <a:ln w="19050" cap="rnd" cmpd="sng" algn="ctr">
              <a:solidFill>
                <a:schemeClr val="accent4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45536</c:v>
                </c:pt>
                <c:pt idx="2">
                  <c:v>45901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315</c:v>
                </c:pt>
                <c:pt idx="1">
                  <c:v>600</c:v>
                </c:pt>
                <c:pt idx="2">
                  <c:v>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A88-4696-A533-1350CD6842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4249920"/>
        <c:axId val="404256808"/>
      </c:lineChart>
      <c:dateAx>
        <c:axId val="4042499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256808"/>
        <c:crosses val="autoZero"/>
        <c:auto val="1"/>
        <c:lblOffset val="100"/>
        <c:baseTimeUnit val="months"/>
      </c:dateAx>
      <c:valAx>
        <c:axId val="404256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4249920"/>
        <c:crossesAt val="45383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EE96-C2ED-4580-98C9-05C72177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Ralevic, Beverley</dc:creator>
  <cp:keywords/>
  <dc:description/>
  <cp:lastModifiedBy>Ralevic, Beverley</cp:lastModifiedBy>
  <cp:revision>4</cp:revision>
  <dcterms:created xsi:type="dcterms:W3CDTF">2023-05-03T12:40:00Z</dcterms:created>
  <dcterms:modified xsi:type="dcterms:W3CDTF">2023-05-09T13:53:00Z</dcterms:modified>
</cp:coreProperties>
</file>