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14:paraId="6B94B050" w14:textId="77777777" w:rsidTr="00010C67">
        <w:tc>
          <w:tcPr>
            <w:tcW w:w="2547" w:type="dxa"/>
          </w:tcPr>
          <w:p w14:paraId="653E007D" w14:textId="54BF2620" w:rsidR="001C7161" w:rsidRPr="009E2F53" w:rsidRDefault="00010C67" w:rsidP="001C7161">
            <w:pPr>
              <w:rPr>
                <w:b/>
              </w:rPr>
            </w:pPr>
            <w:r>
              <w:rPr>
                <w:b/>
              </w:rPr>
              <w:t>Directorate</w:t>
            </w:r>
          </w:p>
        </w:tc>
        <w:tc>
          <w:tcPr>
            <w:tcW w:w="6469" w:type="dxa"/>
          </w:tcPr>
          <w:p w14:paraId="16A5A416" w14:textId="7C421879" w:rsidR="001C7161" w:rsidRPr="009B64B4" w:rsidRDefault="00961F80" w:rsidP="001C7161">
            <w:pPr>
              <w:rPr>
                <w:b/>
              </w:rPr>
            </w:pPr>
            <w:r>
              <w:rPr>
                <w:b/>
              </w:rPr>
              <w:t>Chief Executive</w:t>
            </w:r>
          </w:p>
        </w:tc>
      </w:tr>
      <w:tr w:rsidR="00A2383B" w14:paraId="2F9AA547" w14:textId="77777777" w:rsidTr="00010C67">
        <w:trPr>
          <w:trHeight w:val="277"/>
        </w:trPr>
        <w:tc>
          <w:tcPr>
            <w:tcW w:w="2547" w:type="dxa"/>
          </w:tcPr>
          <w:p w14:paraId="1EA4B960" w14:textId="530B6E57" w:rsidR="00A2383B" w:rsidRDefault="00A2383B" w:rsidP="001C7161">
            <w:pPr>
              <w:rPr>
                <w:b/>
              </w:rPr>
            </w:pPr>
            <w:r>
              <w:rPr>
                <w:b/>
              </w:rPr>
              <w:t>Combined Tracker Ref.</w:t>
            </w:r>
          </w:p>
        </w:tc>
        <w:tc>
          <w:tcPr>
            <w:tcW w:w="6469" w:type="dxa"/>
          </w:tcPr>
          <w:p w14:paraId="30686294" w14:textId="2E9AEB82" w:rsidR="00A2383B" w:rsidRPr="009B64B4" w:rsidRDefault="00111D84" w:rsidP="001C7161">
            <w:pPr>
              <w:rPr>
                <w:b/>
              </w:rPr>
            </w:pPr>
            <w:r>
              <w:rPr>
                <w:b/>
              </w:rPr>
              <w:t>FRB/23/002</w:t>
            </w:r>
          </w:p>
        </w:tc>
      </w:tr>
      <w:tr w:rsidR="001C7161" w14:paraId="24F95AE2" w14:textId="77777777" w:rsidTr="00010C67">
        <w:trPr>
          <w:trHeight w:val="277"/>
        </w:trPr>
        <w:tc>
          <w:tcPr>
            <w:tcW w:w="2547" w:type="dxa"/>
          </w:tcPr>
          <w:p w14:paraId="423CE27A" w14:textId="3C705794" w:rsidR="001C7161" w:rsidRPr="009E2F53" w:rsidRDefault="00010C67" w:rsidP="001C7161">
            <w:pPr>
              <w:rPr>
                <w:b/>
              </w:rPr>
            </w:pPr>
            <w:r>
              <w:rPr>
                <w:b/>
              </w:rPr>
              <w:t>Service Director</w:t>
            </w:r>
          </w:p>
        </w:tc>
        <w:tc>
          <w:tcPr>
            <w:tcW w:w="6469" w:type="dxa"/>
          </w:tcPr>
          <w:p w14:paraId="34C92E13" w14:textId="441A6247" w:rsidR="001C7161" w:rsidRPr="009B64B4" w:rsidRDefault="00F13242" w:rsidP="001C7161">
            <w:pPr>
              <w:rPr>
                <w:b/>
              </w:rPr>
            </w:pPr>
            <w:r>
              <w:rPr>
                <w:b/>
              </w:rPr>
              <w:t>Dev Gopal</w:t>
            </w:r>
          </w:p>
        </w:tc>
      </w:tr>
      <w:tr w:rsidR="001C7161" w14:paraId="4354C1CD" w14:textId="77777777" w:rsidTr="00010C67">
        <w:tc>
          <w:tcPr>
            <w:tcW w:w="2547" w:type="dxa"/>
          </w:tcPr>
          <w:p w14:paraId="0D204AA0" w14:textId="4A8B701D" w:rsidR="001C7161" w:rsidRPr="009E2F53" w:rsidRDefault="00010C67" w:rsidP="001C7161">
            <w:pPr>
              <w:rPr>
                <w:b/>
              </w:rPr>
            </w:pPr>
            <w:r>
              <w:rPr>
                <w:b/>
              </w:rPr>
              <w:t>Service Area</w:t>
            </w:r>
          </w:p>
        </w:tc>
        <w:tc>
          <w:tcPr>
            <w:tcW w:w="6469" w:type="dxa"/>
          </w:tcPr>
          <w:p w14:paraId="2ADB8A48" w14:textId="61C4C31C" w:rsidR="001C7161" w:rsidRPr="009B64B4" w:rsidRDefault="00111D84" w:rsidP="001C7161">
            <w:pPr>
              <w:rPr>
                <w:b/>
              </w:rPr>
            </w:pPr>
            <w:r>
              <w:rPr>
                <w:b/>
              </w:rPr>
              <w:t>Enforcement Income</w:t>
            </w:r>
          </w:p>
        </w:tc>
      </w:tr>
      <w:tr w:rsidR="001C7161" w14:paraId="4DFFC63A" w14:textId="77777777" w:rsidTr="00010C67">
        <w:trPr>
          <w:trHeight w:val="276"/>
        </w:trPr>
        <w:tc>
          <w:tcPr>
            <w:tcW w:w="2547" w:type="dxa"/>
          </w:tcPr>
          <w:p w14:paraId="259BA08E" w14:textId="39D02BB4" w:rsidR="001C7161" w:rsidRPr="009E2F53" w:rsidRDefault="00010C67" w:rsidP="001C7161">
            <w:pPr>
              <w:rPr>
                <w:b/>
              </w:rPr>
            </w:pPr>
            <w:r>
              <w:rPr>
                <w:b/>
              </w:rPr>
              <w:t>Service Manager</w:t>
            </w:r>
          </w:p>
        </w:tc>
        <w:tc>
          <w:tcPr>
            <w:tcW w:w="6469" w:type="dxa"/>
          </w:tcPr>
          <w:p w14:paraId="5E6B1B36" w14:textId="4833DA56" w:rsidR="001C7161" w:rsidRPr="009B64B4" w:rsidRDefault="00F13242" w:rsidP="00977111">
            <w:pPr>
              <w:rPr>
                <w:b/>
              </w:rPr>
            </w:pPr>
            <w:r>
              <w:rPr>
                <w:b/>
              </w:rPr>
              <w:t>Andrew Gardner</w:t>
            </w:r>
          </w:p>
        </w:tc>
      </w:tr>
      <w:tr w:rsidR="009B234A" w14:paraId="2C326D2D" w14:textId="77777777" w:rsidTr="00010C67">
        <w:trPr>
          <w:trHeight w:val="276"/>
        </w:trPr>
        <w:tc>
          <w:tcPr>
            <w:tcW w:w="2547" w:type="dxa"/>
          </w:tcPr>
          <w:p w14:paraId="5FB1908D" w14:textId="5C633E5A" w:rsidR="009B234A" w:rsidRDefault="009B234A" w:rsidP="001C7161">
            <w:pPr>
              <w:rPr>
                <w:b/>
              </w:rPr>
            </w:pPr>
            <w:r>
              <w:rPr>
                <w:b/>
              </w:rPr>
              <w:t>Activity/Cost centres</w:t>
            </w:r>
          </w:p>
        </w:tc>
        <w:tc>
          <w:tcPr>
            <w:tcW w:w="6469" w:type="dxa"/>
          </w:tcPr>
          <w:p w14:paraId="3A035075" w14:textId="69CA7F86" w:rsidR="009B234A" w:rsidRPr="009B64B4" w:rsidRDefault="00F13242" w:rsidP="00111D84">
            <w:pPr>
              <w:rPr>
                <w:b/>
              </w:rPr>
            </w:pPr>
            <w:r>
              <w:rPr>
                <w:b/>
              </w:rPr>
              <w:t>FF410</w:t>
            </w:r>
            <w:r w:rsidR="00111D84">
              <w:rPr>
                <w:b/>
              </w:rPr>
              <w:t>6</w:t>
            </w:r>
            <w:r>
              <w:rPr>
                <w:b/>
              </w:rPr>
              <w:t>/64</w:t>
            </w:r>
            <w:r w:rsidR="00111D84">
              <w:rPr>
                <w:b/>
              </w:rPr>
              <w:t>8</w:t>
            </w:r>
            <w:r>
              <w:rPr>
                <w:b/>
              </w:rPr>
              <w:t>0</w:t>
            </w:r>
          </w:p>
        </w:tc>
      </w:tr>
      <w:tr w:rsidR="009B234A" w14:paraId="5DBBEC68" w14:textId="77777777" w:rsidTr="00010C67">
        <w:trPr>
          <w:trHeight w:val="276"/>
        </w:trPr>
        <w:tc>
          <w:tcPr>
            <w:tcW w:w="2547" w:type="dxa"/>
          </w:tcPr>
          <w:p w14:paraId="38AEC892" w14:textId="4ACD696C" w:rsidR="009B234A" w:rsidRDefault="009B234A" w:rsidP="001C7161">
            <w:pPr>
              <w:rPr>
                <w:b/>
              </w:rPr>
            </w:pPr>
            <w:r>
              <w:rPr>
                <w:b/>
              </w:rPr>
              <w:t>22/23 Budget £’000</w:t>
            </w:r>
          </w:p>
        </w:tc>
        <w:tc>
          <w:tcPr>
            <w:tcW w:w="6469" w:type="dxa"/>
          </w:tcPr>
          <w:p w14:paraId="24514B21" w14:textId="5DB9CB82" w:rsidR="009B234A" w:rsidRPr="009B64B4" w:rsidRDefault="00111D84" w:rsidP="00977111">
            <w:pPr>
              <w:rPr>
                <w:b/>
              </w:rPr>
            </w:pPr>
            <w:r>
              <w:rPr>
                <w:b/>
              </w:rPr>
              <w:t>-385</w:t>
            </w:r>
          </w:p>
        </w:tc>
      </w:tr>
      <w:tr w:rsidR="009B234A" w14:paraId="07A53083" w14:textId="77777777" w:rsidTr="00010C67">
        <w:trPr>
          <w:trHeight w:val="276"/>
        </w:trPr>
        <w:tc>
          <w:tcPr>
            <w:tcW w:w="2547" w:type="dxa"/>
          </w:tcPr>
          <w:p w14:paraId="5E6A047D" w14:textId="6EE244BA" w:rsidR="009B234A" w:rsidRDefault="009B234A" w:rsidP="001C7161">
            <w:pPr>
              <w:rPr>
                <w:b/>
              </w:rPr>
            </w:pPr>
            <w:r>
              <w:rPr>
                <w:b/>
              </w:rPr>
              <w:t>22/23 Outturn £’000</w:t>
            </w:r>
          </w:p>
        </w:tc>
        <w:tc>
          <w:tcPr>
            <w:tcW w:w="6469" w:type="dxa"/>
          </w:tcPr>
          <w:p w14:paraId="243B07C1" w14:textId="217A6C2E" w:rsidR="009B234A" w:rsidRPr="009B64B4" w:rsidRDefault="00111D84" w:rsidP="00977111">
            <w:pPr>
              <w:rPr>
                <w:b/>
              </w:rPr>
            </w:pPr>
            <w:r>
              <w:rPr>
                <w:b/>
              </w:rPr>
              <w:t>-143</w:t>
            </w:r>
          </w:p>
        </w:tc>
      </w:tr>
      <w:tr w:rsidR="009B234A" w14:paraId="3A3106C5" w14:textId="77777777" w:rsidTr="00010C67">
        <w:trPr>
          <w:trHeight w:val="276"/>
        </w:trPr>
        <w:tc>
          <w:tcPr>
            <w:tcW w:w="2547" w:type="dxa"/>
          </w:tcPr>
          <w:p w14:paraId="1A0FC088" w14:textId="24D3213F" w:rsidR="009B234A" w:rsidRDefault="009B234A" w:rsidP="001C7161">
            <w:pPr>
              <w:rPr>
                <w:b/>
              </w:rPr>
            </w:pPr>
            <w:r>
              <w:rPr>
                <w:b/>
              </w:rPr>
              <w:t>23/24 Budget £’000</w:t>
            </w:r>
          </w:p>
        </w:tc>
        <w:tc>
          <w:tcPr>
            <w:tcW w:w="6469" w:type="dxa"/>
          </w:tcPr>
          <w:p w14:paraId="6959EEF4" w14:textId="26898E16" w:rsidR="009B234A" w:rsidRPr="009B64B4" w:rsidRDefault="00111D84" w:rsidP="00F30F79">
            <w:pPr>
              <w:rPr>
                <w:b/>
              </w:rPr>
            </w:pPr>
            <w:r>
              <w:rPr>
                <w:b/>
              </w:rPr>
              <w:t>-385</w:t>
            </w:r>
          </w:p>
        </w:tc>
      </w:tr>
      <w:tr w:rsidR="00010C67" w14:paraId="6340C458" w14:textId="77777777" w:rsidTr="00010C67">
        <w:trPr>
          <w:trHeight w:val="276"/>
        </w:trPr>
        <w:tc>
          <w:tcPr>
            <w:tcW w:w="2547" w:type="dxa"/>
          </w:tcPr>
          <w:p w14:paraId="03E8EBE8" w14:textId="1A62E5AB"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19AED57C" w14:textId="6A6697A7" w:rsidR="00010C67" w:rsidRPr="009B64B4" w:rsidRDefault="00111D84" w:rsidP="00977111">
            <w:pPr>
              <w:rPr>
                <w:b/>
              </w:rPr>
            </w:pPr>
            <w:r>
              <w:rPr>
                <w:b/>
              </w:rPr>
              <w:t>242</w:t>
            </w:r>
          </w:p>
        </w:tc>
      </w:tr>
    </w:tbl>
    <w:p w14:paraId="741048B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2791975" w14:textId="77777777" w:rsidTr="001C7161">
        <w:tc>
          <w:tcPr>
            <w:tcW w:w="9242" w:type="dxa"/>
          </w:tcPr>
          <w:p w14:paraId="1F9EF2DF" w14:textId="2D2A87C2" w:rsidR="001C7161" w:rsidRDefault="00010C67" w:rsidP="001C7161">
            <w:pPr>
              <w:rPr>
                <w:b/>
              </w:rPr>
            </w:pPr>
            <w:r>
              <w:rPr>
                <w:b/>
              </w:rPr>
              <w:t>Explain the context behind th</w:t>
            </w:r>
            <w:r w:rsidR="009B234A">
              <w:rPr>
                <w:b/>
              </w:rPr>
              <w:t>is pressure</w:t>
            </w:r>
            <w:r>
              <w:rPr>
                <w:b/>
              </w:rPr>
              <w:t xml:space="preserve"> and what has caused it</w:t>
            </w:r>
          </w:p>
          <w:p w14:paraId="7DE6A6C3" w14:textId="77777777" w:rsidR="00927DAB" w:rsidRDefault="00927DAB" w:rsidP="00927DAB">
            <w:pPr>
              <w:pStyle w:val="ListParagraph"/>
              <w:numPr>
                <w:ilvl w:val="0"/>
                <w:numId w:val="3"/>
              </w:numPr>
              <w:rPr>
                <w:b/>
              </w:rPr>
            </w:pPr>
            <w:r>
              <w:rPr>
                <w:b/>
              </w:rPr>
              <w:t>Since when has the budget been in deficit (provide the year, e.g. 2020/21)</w:t>
            </w:r>
          </w:p>
          <w:p w14:paraId="2FC20CFD" w14:textId="75596662"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3A493507" w14:textId="77777777" w:rsidTr="001C7161">
        <w:tc>
          <w:tcPr>
            <w:tcW w:w="9242" w:type="dxa"/>
          </w:tcPr>
          <w:p w14:paraId="060BB3B9" w14:textId="6676F589" w:rsidR="009B64B4" w:rsidRDefault="009B64B4" w:rsidP="001C7161"/>
          <w:p w14:paraId="6DE8C515" w14:textId="77777777" w:rsidR="00EE4789" w:rsidRDefault="00EE4789" w:rsidP="001C7161">
            <w:r>
              <w:t>Due to Covid the number of Courts have been restricted and therefore the number of Liability Orders that have been issued to Enforcement have been dramatically reduced.</w:t>
            </w:r>
          </w:p>
          <w:p w14:paraId="755A1F85" w14:textId="77777777" w:rsidR="00EE4789" w:rsidRDefault="00EE4789" w:rsidP="001C7161"/>
          <w:p w14:paraId="7CB6811A" w14:textId="231615C2" w:rsidR="00EE4789" w:rsidRDefault="00EE4789" w:rsidP="001C7161">
            <w:r>
              <w:t>However as per below even prior to Covid we were unable to meet the Budget Income although we did exceed the Budgeted Income in 2021/22 as it was dramatically reduced.</w:t>
            </w:r>
          </w:p>
          <w:p w14:paraId="582B7EEF" w14:textId="77777777" w:rsidR="00EE4789" w:rsidRDefault="00EE4789" w:rsidP="001C7161"/>
          <w:p w14:paraId="67DF595C" w14:textId="346034F9" w:rsidR="00010C67" w:rsidRDefault="00CF32C3" w:rsidP="001C7161">
            <w:r>
              <w:t>2019/20  Budget Income £470k  Actual £380k</w:t>
            </w:r>
          </w:p>
          <w:p w14:paraId="62B718C9" w14:textId="77777777" w:rsidR="00CF32C3" w:rsidRDefault="00CF32C3" w:rsidP="001C7161">
            <w:r>
              <w:t>2020/21  Budget Income £470k  Actual £255k</w:t>
            </w:r>
          </w:p>
          <w:p w14:paraId="404D124D" w14:textId="4012B5BE" w:rsidR="00010C67" w:rsidRDefault="00CF32C3" w:rsidP="001C7161">
            <w:r>
              <w:t xml:space="preserve">2021/22  Budget Income £107k  Actual £174k </w:t>
            </w:r>
          </w:p>
          <w:p w14:paraId="618FE15B" w14:textId="325ED683" w:rsidR="00010C67" w:rsidRDefault="00010C67" w:rsidP="001C7161"/>
          <w:p w14:paraId="7B581D41" w14:textId="4E7AF030" w:rsidR="008B71E2" w:rsidRDefault="008B71E2" w:rsidP="001C7161">
            <w:r>
              <w:t xml:space="preserve">We are planning to issue an increased number of cases to the EA’s due to the increase in number of Summons/Courts and the prioritisation of the Recovery Team issuing these cases to the EA’s but this will only reflect an increase later on in the financial year.  </w:t>
            </w:r>
          </w:p>
          <w:p w14:paraId="15986F3A" w14:textId="3FCBC05C" w:rsidR="00010C67" w:rsidRDefault="00010C67" w:rsidP="001C7161"/>
          <w:p w14:paraId="069F7193" w14:textId="5DA134B5" w:rsidR="009269FC" w:rsidRDefault="009269FC" w:rsidP="001C7161">
            <w:r>
              <w:t>Looking at previous records we require 8800 cases to be passed to the EA’s to reach the £385 target.</w:t>
            </w:r>
          </w:p>
          <w:p w14:paraId="2D874AB1" w14:textId="67C54296" w:rsidR="00010C67" w:rsidRDefault="00010C67" w:rsidP="001C7161"/>
        </w:tc>
      </w:tr>
    </w:tbl>
    <w:p w14:paraId="25842762"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27C8D2D2" w14:textId="77777777" w:rsidTr="009B64B4">
        <w:tc>
          <w:tcPr>
            <w:tcW w:w="9242" w:type="dxa"/>
          </w:tcPr>
          <w:p w14:paraId="2C3AD296" w14:textId="60EBBFCF" w:rsidR="009B64B4" w:rsidRDefault="009B234A" w:rsidP="001C7161">
            <w:pPr>
              <w:rPr>
                <w:b/>
              </w:rPr>
            </w:pPr>
            <w:r>
              <w:rPr>
                <w:b/>
              </w:rPr>
              <w:t>What action(s) can be taken to keep 23/24 spend in line with approved budget?</w:t>
            </w:r>
          </w:p>
          <w:p w14:paraId="56059AE2" w14:textId="19FC7591"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7B46270A"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9E7AC46" w14:textId="559FF5C6" w:rsidR="00927DAB" w:rsidRPr="00010C67" w:rsidRDefault="00927DAB" w:rsidP="00010C67">
            <w:pPr>
              <w:pStyle w:val="ListParagraph"/>
              <w:numPr>
                <w:ilvl w:val="0"/>
                <w:numId w:val="1"/>
              </w:numPr>
              <w:rPr>
                <w:b/>
              </w:rPr>
            </w:pPr>
            <w:r>
              <w:rPr>
                <w:b/>
              </w:rPr>
              <w:t>Explain how the cost/income drivers can be managed</w:t>
            </w:r>
          </w:p>
        </w:tc>
      </w:tr>
      <w:tr w:rsidR="009B64B4" w14:paraId="18EEA673" w14:textId="77777777" w:rsidTr="009B64B4">
        <w:tc>
          <w:tcPr>
            <w:tcW w:w="9242" w:type="dxa"/>
          </w:tcPr>
          <w:p w14:paraId="2B447184" w14:textId="77777777" w:rsidR="009B64B4" w:rsidRDefault="009B64B4" w:rsidP="001C7161"/>
          <w:p w14:paraId="1D18534B" w14:textId="37F74EAF" w:rsidR="00010C67" w:rsidRDefault="001E72D2" w:rsidP="001C7161">
            <w:r>
              <w:t xml:space="preserve">We need to ensure that we maximise the number of Summons and Courts we have for the rest of the Financial Year and to prioritise in the Recovery Team the issue of Enforcement action. </w:t>
            </w:r>
          </w:p>
          <w:p w14:paraId="3A2E6DA4" w14:textId="77777777" w:rsidR="00010C67" w:rsidRDefault="00010C67" w:rsidP="001C7161"/>
          <w:p w14:paraId="4A8E6E0C" w14:textId="77777777" w:rsidR="00010C67" w:rsidRDefault="00010C67" w:rsidP="001C7161"/>
          <w:p w14:paraId="5FE418E3" w14:textId="77777777" w:rsidR="00010C67" w:rsidRDefault="00010C67" w:rsidP="001C7161"/>
          <w:p w14:paraId="43A480D1" w14:textId="5520A198" w:rsidR="00010C67" w:rsidRDefault="00010C67" w:rsidP="001C7161"/>
        </w:tc>
      </w:tr>
    </w:tbl>
    <w:p w14:paraId="1674390F"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21697809" w14:textId="6709DEF9" w:rsidTr="004C36B2">
        <w:tc>
          <w:tcPr>
            <w:tcW w:w="9016" w:type="dxa"/>
            <w:gridSpan w:val="3"/>
            <w:tcBorders>
              <w:bottom w:val="single" w:sz="4" w:space="0" w:color="auto"/>
            </w:tcBorders>
          </w:tcPr>
          <w:p w14:paraId="4FB0C2BA" w14:textId="775E9047" w:rsidR="004C36B2" w:rsidRDefault="004C36B2" w:rsidP="001C7161">
            <w:pPr>
              <w:rPr>
                <w:b/>
              </w:rPr>
            </w:pPr>
            <w:r>
              <w:rPr>
                <w:b/>
              </w:rPr>
              <w:t>Timescale for budget deficit recovery</w:t>
            </w:r>
          </w:p>
          <w:p w14:paraId="4B2B3CB3" w14:textId="5EA9A566"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00BBD4A5" w14:textId="152E8364" w:rsidR="004C36B2" w:rsidRPr="00E14CD3" w:rsidRDefault="004C36B2" w:rsidP="00E14CD3">
            <w:pPr>
              <w:pStyle w:val="ListParagraph"/>
              <w:rPr>
                <w:b/>
              </w:rPr>
            </w:pPr>
          </w:p>
        </w:tc>
      </w:tr>
      <w:tr w:rsidR="004C36B2" w14:paraId="012CCAF3" w14:textId="40D97DC8" w:rsidTr="004C36B2">
        <w:tc>
          <w:tcPr>
            <w:tcW w:w="5746" w:type="dxa"/>
            <w:shd w:val="pct30" w:color="auto" w:fill="auto"/>
          </w:tcPr>
          <w:p w14:paraId="50C3C36B" w14:textId="26981021" w:rsidR="004C36B2" w:rsidRDefault="004C36B2" w:rsidP="00E14CD3">
            <w:pPr>
              <w:jc w:val="center"/>
            </w:pPr>
            <w:r>
              <w:t>MILESTONE DETAILS</w:t>
            </w:r>
          </w:p>
        </w:tc>
        <w:tc>
          <w:tcPr>
            <w:tcW w:w="1588" w:type="dxa"/>
            <w:shd w:val="pct30" w:color="auto" w:fill="auto"/>
          </w:tcPr>
          <w:p w14:paraId="2268DEFB" w14:textId="2D3B2BDF" w:rsidR="004C36B2" w:rsidRDefault="004C36B2" w:rsidP="00E14CD3">
            <w:pPr>
              <w:jc w:val="center"/>
            </w:pPr>
            <w:r>
              <w:t>£</w:t>
            </w:r>
          </w:p>
        </w:tc>
        <w:tc>
          <w:tcPr>
            <w:tcW w:w="1682" w:type="dxa"/>
            <w:shd w:val="pct30" w:color="auto" w:fill="auto"/>
          </w:tcPr>
          <w:p w14:paraId="72BB3234" w14:textId="6A6E3EB7" w:rsidR="004C36B2" w:rsidRDefault="004C36B2" w:rsidP="00E14CD3">
            <w:pPr>
              <w:jc w:val="center"/>
            </w:pPr>
            <w:r>
              <w:t>Date</w:t>
            </w:r>
          </w:p>
        </w:tc>
      </w:tr>
      <w:tr w:rsidR="004C36B2" w14:paraId="2BF22648" w14:textId="1281E450" w:rsidTr="004C36B2">
        <w:tc>
          <w:tcPr>
            <w:tcW w:w="5746" w:type="dxa"/>
          </w:tcPr>
          <w:p w14:paraId="57B73ED4" w14:textId="6913D67B" w:rsidR="004C36B2" w:rsidRDefault="001E72D2" w:rsidP="001C7161">
            <w:r>
              <w:t>Quarter 1</w:t>
            </w:r>
          </w:p>
        </w:tc>
        <w:tc>
          <w:tcPr>
            <w:tcW w:w="1588" w:type="dxa"/>
          </w:tcPr>
          <w:p w14:paraId="0A12FA55" w14:textId="583DDE13" w:rsidR="004C36B2" w:rsidRDefault="001E72D2" w:rsidP="001C7161">
            <w:r>
              <w:t>35k</w:t>
            </w:r>
          </w:p>
        </w:tc>
        <w:tc>
          <w:tcPr>
            <w:tcW w:w="1682" w:type="dxa"/>
          </w:tcPr>
          <w:p w14:paraId="1C208870" w14:textId="6200AC7B" w:rsidR="004C36B2" w:rsidRDefault="001E72D2" w:rsidP="001C7161">
            <w:r>
              <w:t>30.06.2023</w:t>
            </w:r>
          </w:p>
        </w:tc>
      </w:tr>
      <w:tr w:rsidR="004C36B2" w14:paraId="228F24D7" w14:textId="77777777" w:rsidTr="004C36B2">
        <w:tc>
          <w:tcPr>
            <w:tcW w:w="5746" w:type="dxa"/>
          </w:tcPr>
          <w:p w14:paraId="05195C57" w14:textId="00FCC15E" w:rsidR="004C36B2" w:rsidRDefault="001E72D2" w:rsidP="001C7161">
            <w:r>
              <w:t>Quarter 2</w:t>
            </w:r>
          </w:p>
        </w:tc>
        <w:tc>
          <w:tcPr>
            <w:tcW w:w="1588" w:type="dxa"/>
          </w:tcPr>
          <w:p w14:paraId="2C4DC4C6" w14:textId="2906AC27" w:rsidR="004C36B2" w:rsidRDefault="008B71E2" w:rsidP="001C7161">
            <w:r>
              <w:t>100k</w:t>
            </w:r>
          </w:p>
        </w:tc>
        <w:tc>
          <w:tcPr>
            <w:tcW w:w="1682" w:type="dxa"/>
          </w:tcPr>
          <w:p w14:paraId="38F82423" w14:textId="3FE2C32C" w:rsidR="004C36B2" w:rsidRDefault="008B71E2" w:rsidP="001C7161">
            <w:r>
              <w:t>30.09.2023</w:t>
            </w:r>
          </w:p>
        </w:tc>
      </w:tr>
      <w:tr w:rsidR="004C36B2" w14:paraId="35FF911A" w14:textId="77777777" w:rsidTr="004C36B2">
        <w:tc>
          <w:tcPr>
            <w:tcW w:w="5746" w:type="dxa"/>
          </w:tcPr>
          <w:p w14:paraId="6B1DC57D" w14:textId="2A55BB92" w:rsidR="004C36B2" w:rsidRDefault="001E72D2" w:rsidP="001C7161">
            <w:r>
              <w:t>Quarter 3</w:t>
            </w:r>
          </w:p>
        </w:tc>
        <w:tc>
          <w:tcPr>
            <w:tcW w:w="1588" w:type="dxa"/>
          </w:tcPr>
          <w:p w14:paraId="367CBEFE" w14:textId="076F3A0B" w:rsidR="004C36B2" w:rsidRDefault="008B71E2" w:rsidP="001C7161">
            <w:r>
              <w:t>220k</w:t>
            </w:r>
          </w:p>
        </w:tc>
        <w:tc>
          <w:tcPr>
            <w:tcW w:w="1682" w:type="dxa"/>
          </w:tcPr>
          <w:p w14:paraId="702E299E" w14:textId="0ED7CDB6" w:rsidR="004C36B2" w:rsidRDefault="008B71E2" w:rsidP="001C7161">
            <w:r>
              <w:t>31.12.2023</w:t>
            </w:r>
          </w:p>
        </w:tc>
      </w:tr>
      <w:tr w:rsidR="004C36B2" w14:paraId="27EF62D1" w14:textId="77777777" w:rsidTr="004C36B2">
        <w:tc>
          <w:tcPr>
            <w:tcW w:w="5746" w:type="dxa"/>
          </w:tcPr>
          <w:p w14:paraId="47F18E71" w14:textId="41C6379B" w:rsidR="004C36B2" w:rsidRDefault="001E72D2" w:rsidP="001C7161">
            <w:r>
              <w:t>Quarter 4</w:t>
            </w:r>
          </w:p>
        </w:tc>
        <w:tc>
          <w:tcPr>
            <w:tcW w:w="1588" w:type="dxa"/>
          </w:tcPr>
          <w:p w14:paraId="2B02570C" w14:textId="1D1C8188" w:rsidR="004C36B2" w:rsidRDefault="008B71E2" w:rsidP="001C7161">
            <w:r>
              <w:t>380k</w:t>
            </w:r>
          </w:p>
        </w:tc>
        <w:tc>
          <w:tcPr>
            <w:tcW w:w="1682" w:type="dxa"/>
          </w:tcPr>
          <w:p w14:paraId="18F27140" w14:textId="02281524" w:rsidR="004C36B2" w:rsidRDefault="008B71E2" w:rsidP="001C7161">
            <w:r>
              <w:t>31.03.2023</w:t>
            </w:r>
          </w:p>
        </w:tc>
      </w:tr>
      <w:tr w:rsidR="004C36B2" w14:paraId="4FE7725A" w14:textId="77777777" w:rsidTr="004C36B2">
        <w:tc>
          <w:tcPr>
            <w:tcW w:w="5746" w:type="dxa"/>
          </w:tcPr>
          <w:p w14:paraId="08CFA03F" w14:textId="77777777" w:rsidR="004C36B2" w:rsidRDefault="004C36B2" w:rsidP="001C7161"/>
        </w:tc>
        <w:tc>
          <w:tcPr>
            <w:tcW w:w="1588" w:type="dxa"/>
          </w:tcPr>
          <w:p w14:paraId="03C8B6F4" w14:textId="77777777" w:rsidR="004C36B2" w:rsidRDefault="004C36B2" w:rsidP="001C7161"/>
        </w:tc>
        <w:tc>
          <w:tcPr>
            <w:tcW w:w="1682" w:type="dxa"/>
          </w:tcPr>
          <w:p w14:paraId="2043462A" w14:textId="13D23F07" w:rsidR="004C36B2" w:rsidRDefault="004C36B2" w:rsidP="001C7161"/>
        </w:tc>
      </w:tr>
    </w:tbl>
    <w:p w14:paraId="71FCA827" w14:textId="77777777" w:rsidR="00E14CD3" w:rsidRDefault="00E14CD3">
      <w:r>
        <w:br w:type="page"/>
      </w:r>
    </w:p>
    <w:p w14:paraId="1D4F0266"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04D6C421" w14:textId="77777777" w:rsidTr="00E14CD3">
        <w:tc>
          <w:tcPr>
            <w:tcW w:w="9016" w:type="dxa"/>
            <w:gridSpan w:val="2"/>
          </w:tcPr>
          <w:p w14:paraId="770CAD40" w14:textId="6047AF60" w:rsidR="00E14CD3" w:rsidRDefault="00E14CD3" w:rsidP="001C7161">
            <w:pPr>
              <w:rPr>
                <w:b/>
              </w:rPr>
            </w:pPr>
            <w:r>
              <w:rPr>
                <w:b/>
              </w:rPr>
              <w:t>Quarterly Monitoring updates</w:t>
            </w:r>
          </w:p>
          <w:p w14:paraId="16D4B59C"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5C24A4E5" w14:textId="368D0A73"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272592B9" w14:textId="77777777" w:rsidTr="00E14CD3">
        <w:tc>
          <w:tcPr>
            <w:tcW w:w="9016" w:type="dxa"/>
            <w:gridSpan w:val="2"/>
            <w:shd w:val="pct30" w:color="auto" w:fill="auto"/>
          </w:tcPr>
          <w:p w14:paraId="3E2EDEC9" w14:textId="3D83FD6C" w:rsidR="00E14CD3" w:rsidRPr="00E14CD3" w:rsidRDefault="00E14CD3" w:rsidP="001C7161">
            <w:pPr>
              <w:rPr>
                <w:b/>
              </w:rPr>
            </w:pPr>
            <w:r>
              <w:rPr>
                <w:b/>
              </w:rPr>
              <w:t>QUARTER 1 (to 30/06/23)</w:t>
            </w:r>
          </w:p>
        </w:tc>
      </w:tr>
      <w:tr w:rsidR="00236442" w14:paraId="5E1C1401" w14:textId="77777777" w:rsidTr="00236442">
        <w:tc>
          <w:tcPr>
            <w:tcW w:w="7366" w:type="dxa"/>
          </w:tcPr>
          <w:p w14:paraId="07DF6BF6" w14:textId="5C68F183" w:rsidR="00236442" w:rsidRDefault="00236442" w:rsidP="001E72D2">
            <w:r>
              <w:t xml:space="preserve">On Target ? </w:t>
            </w:r>
            <w:r w:rsidRPr="001E72D2">
              <w:rPr>
                <w:b/>
                <w:color w:val="FF0000"/>
              </w:rPr>
              <w:t>No</w:t>
            </w:r>
          </w:p>
        </w:tc>
        <w:tc>
          <w:tcPr>
            <w:tcW w:w="1650" w:type="dxa"/>
          </w:tcPr>
          <w:p w14:paraId="588E172E" w14:textId="43D97161" w:rsidR="00236442" w:rsidRDefault="00236442" w:rsidP="001C7161"/>
        </w:tc>
      </w:tr>
      <w:tr w:rsidR="00236442" w14:paraId="4EEB8B5F" w14:textId="77777777" w:rsidTr="00E14CD3">
        <w:tc>
          <w:tcPr>
            <w:tcW w:w="9016" w:type="dxa"/>
            <w:gridSpan w:val="2"/>
          </w:tcPr>
          <w:p w14:paraId="598498EC" w14:textId="6C75204D" w:rsidR="00236442" w:rsidRDefault="00236442" w:rsidP="001C7161">
            <w:r>
              <w:t>Provide narrative below</w:t>
            </w:r>
          </w:p>
        </w:tc>
      </w:tr>
      <w:tr w:rsidR="00236442" w14:paraId="762806B7" w14:textId="77777777" w:rsidTr="00E14CD3">
        <w:tc>
          <w:tcPr>
            <w:tcW w:w="9016" w:type="dxa"/>
            <w:gridSpan w:val="2"/>
          </w:tcPr>
          <w:p w14:paraId="76BABE96" w14:textId="3A73CD41" w:rsidR="00236442" w:rsidRDefault="001E72D2" w:rsidP="001C7161">
            <w:r>
              <w:t xml:space="preserve">We are currently 60k behind target due to the number of cases issued to the Enforcement Agents and of the 5 EA’s 2 of them have been on long term sick although they have now returned to work so this will increase the number of visits made and EA fees charged.    </w:t>
            </w:r>
          </w:p>
          <w:p w14:paraId="6F4CF38B" w14:textId="6662C8B5" w:rsidR="00236442" w:rsidRDefault="00236442" w:rsidP="001C7161"/>
        </w:tc>
      </w:tr>
      <w:tr w:rsidR="00E14CD3" w14:paraId="623BB152" w14:textId="77777777" w:rsidTr="00E14CD3">
        <w:tc>
          <w:tcPr>
            <w:tcW w:w="9016" w:type="dxa"/>
            <w:gridSpan w:val="2"/>
            <w:shd w:val="pct30" w:color="auto" w:fill="auto"/>
          </w:tcPr>
          <w:p w14:paraId="677A848B" w14:textId="5E2BD5AB" w:rsidR="00E14CD3" w:rsidRPr="00E14CD3" w:rsidRDefault="00E14CD3" w:rsidP="001C7161">
            <w:pPr>
              <w:rPr>
                <w:b/>
              </w:rPr>
            </w:pPr>
            <w:r>
              <w:rPr>
                <w:b/>
              </w:rPr>
              <w:t>QUARTER 2 (to 30/09/23)</w:t>
            </w:r>
          </w:p>
        </w:tc>
      </w:tr>
      <w:tr w:rsidR="00236442" w14:paraId="70AD3A87" w14:textId="77777777" w:rsidTr="00236442">
        <w:tc>
          <w:tcPr>
            <w:tcW w:w="7366" w:type="dxa"/>
          </w:tcPr>
          <w:p w14:paraId="4EF26E8A" w14:textId="5757BBAC" w:rsidR="00236442" w:rsidRDefault="00236442" w:rsidP="00236442">
            <w:r>
              <w:t>On Target ? (Yes = GREEN; Partial (e.g. milestones slipped) = AMBER, No = RED)</w:t>
            </w:r>
          </w:p>
        </w:tc>
        <w:tc>
          <w:tcPr>
            <w:tcW w:w="1650" w:type="dxa"/>
          </w:tcPr>
          <w:p w14:paraId="270E750D" w14:textId="3F44D6D5" w:rsidR="00236442" w:rsidRDefault="00236442" w:rsidP="00236442"/>
        </w:tc>
      </w:tr>
      <w:tr w:rsidR="00236442" w14:paraId="71B27CB2" w14:textId="77777777" w:rsidTr="00E14CD3">
        <w:tc>
          <w:tcPr>
            <w:tcW w:w="9016" w:type="dxa"/>
            <w:gridSpan w:val="2"/>
          </w:tcPr>
          <w:p w14:paraId="0BC723BB" w14:textId="2A456C24" w:rsidR="00236442" w:rsidRDefault="00236442" w:rsidP="00236442">
            <w:r>
              <w:t>Provide narrative below</w:t>
            </w:r>
          </w:p>
        </w:tc>
      </w:tr>
      <w:tr w:rsidR="00236442" w14:paraId="416B0490" w14:textId="77777777" w:rsidTr="00E14CD3">
        <w:tc>
          <w:tcPr>
            <w:tcW w:w="9016" w:type="dxa"/>
            <w:gridSpan w:val="2"/>
          </w:tcPr>
          <w:p w14:paraId="1484B8FB" w14:textId="77777777" w:rsidR="00236442" w:rsidRDefault="00236442" w:rsidP="00236442"/>
          <w:p w14:paraId="5219C36D" w14:textId="752E83D7" w:rsidR="00236442" w:rsidRDefault="00236442" w:rsidP="00236442"/>
        </w:tc>
      </w:tr>
      <w:tr w:rsidR="00236442" w14:paraId="04BCB2B6" w14:textId="77777777" w:rsidTr="00E14CD3">
        <w:tc>
          <w:tcPr>
            <w:tcW w:w="9016" w:type="dxa"/>
            <w:gridSpan w:val="2"/>
            <w:shd w:val="pct30" w:color="auto" w:fill="auto"/>
          </w:tcPr>
          <w:p w14:paraId="40AB3FD5" w14:textId="3933B5D3" w:rsidR="00236442" w:rsidRPr="00E14CD3" w:rsidRDefault="00236442" w:rsidP="00236442">
            <w:pPr>
              <w:rPr>
                <w:b/>
              </w:rPr>
            </w:pPr>
            <w:r>
              <w:rPr>
                <w:b/>
              </w:rPr>
              <w:t>QUARTER 3 (to 31/12/23)</w:t>
            </w:r>
          </w:p>
        </w:tc>
      </w:tr>
      <w:tr w:rsidR="00236442" w14:paraId="3E6FE189" w14:textId="77777777" w:rsidTr="00236442">
        <w:tc>
          <w:tcPr>
            <w:tcW w:w="7366" w:type="dxa"/>
          </w:tcPr>
          <w:p w14:paraId="065CC9C9" w14:textId="5C1EF745" w:rsidR="00236442" w:rsidRDefault="00236442" w:rsidP="00236442">
            <w:r>
              <w:t>On Target ? (Yes = GREEN; Partial (e.g. milestones slipped) = AMBER, No = RED)</w:t>
            </w:r>
          </w:p>
        </w:tc>
        <w:tc>
          <w:tcPr>
            <w:tcW w:w="1650" w:type="dxa"/>
          </w:tcPr>
          <w:p w14:paraId="5620ABE9" w14:textId="26076FE7" w:rsidR="00236442" w:rsidRDefault="00236442" w:rsidP="00236442"/>
        </w:tc>
      </w:tr>
      <w:tr w:rsidR="00236442" w14:paraId="25EF96A6" w14:textId="77777777" w:rsidTr="00E14CD3">
        <w:tc>
          <w:tcPr>
            <w:tcW w:w="9016" w:type="dxa"/>
            <w:gridSpan w:val="2"/>
          </w:tcPr>
          <w:p w14:paraId="685F2A88" w14:textId="1451D796" w:rsidR="00236442" w:rsidRDefault="00236442" w:rsidP="00236442">
            <w:r>
              <w:t>Provide narrative below</w:t>
            </w:r>
          </w:p>
        </w:tc>
      </w:tr>
      <w:tr w:rsidR="00236442" w14:paraId="6FB6A9C0" w14:textId="77777777" w:rsidTr="00E14CD3">
        <w:tc>
          <w:tcPr>
            <w:tcW w:w="9016" w:type="dxa"/>
            <w:gridSpan w:val="2"/>
          </w:tcPr>
          <w:p w14:paraId="5825415A" w14:textId="6711BE4A" w:rsidR="00236442" w:rsidRDefault="009D31F2" w:rsidP="00236442">
            <w:r>
              <w:t>Improvement on Q1</w:t>
            </w:r>
            <w:bookmarkStart w:id="0" w:name="_GoBack"/>
            <w:bookmarkEnd w:id="0"/>
            <w:r w:rsidR="005F29E3">
              <w:t xml:space="preserve"> and will keep under review</w:t>
            </w:r>
          </w:p>
          <w:p w14:paraId="74E0D0C9" w14:textId="42B941FC" w:rsidR="00236442" w:rsidRDefault="00236442" w:rsidP="00236442"/>
        </w:tc>
      </w:tr>
      <w:tr w:rsidR="00236442" w14:paraId="68FDF413" w14:textId="77777777" w:rsidTr="00E14CD3">
        <w:tc>
          <w:tcPr>
            <w:tcW w:w="9016" w:type="dxa"/>
            <w:gridSpan w:val="2"/>
            <w:shd w:val="pct30" w:color="auto" w:fill="auto"/>
          </w:tcPr>
          <w:p w14:paraId="652C2114" w14:textId="293D26A2" w:rsidR="00236442" w:rsidRPr="00E14CD3" w:rsidRDefault="00236442" w:rsidP="005F29E3">
            <w:pPr>
              <w:rPr>
                <w:b/>
              </w:rPr>
            </w:pPr>
            <w:r>
              <w:rPr>
                <w:b/>
              </w:rPr>
              <w:t>QUARTER 4 (to 31/03/2</w:t>
            </w:r>
            <w:r w:rsidR="005F29E3">
              <w:rPr>
                <w:b/>
              </w:rPr>
              <w:t>4</w:t>
            </w:r>
            <w:r>
              <w:rPr>
                <w:b/>
              </w:rPr>
              <w:t>)</w:t>
            </w:r>
          </w:p>
        </w:tc>
      </w:tr>
      <w:tr w:rsidR="00236442" w14:paraId="3F5E0B57" w14:textId="77777777" w:rsidTr="00236442">
        <w:tc>
          <w:tcPr>
            <w:tcW w:w="7366" w:type="dxa"/>
          </w:tcPr>
          <w:p w14:paraId="135B2A46" w14:textId="54D40F7B" w:rsidR="00236442" w:rsidRDefault="00236442" w:rsidP="00236442">
            <w:r>
              <w:t>On Target ? (Yes = GREEN; Partial (e.g. milestones slipped) = AMBER, No = RED)</w:t>
            </w:r>
          </w:p>
        </w:tc>
        <w:tc>
          <w:tcPr>
            <w:tcW w:w="1650" w:type="dxa"/>
          </w:tcPr>
          <w:p w14:paraId="718967BF" w14:textId="6C0B94DF" w:rsidR="00236442" w:rsidRDefault="00236442" w:rsidP="00236442"/>
        </w:tc>
      </w:tr>
      <w:tr w:rsidR="00236442" w14:paraId="3AAF1A92" w14:textId="77777777" w:rsidTr="00E14CD3">
        <w:tc>
          <w:tcPr>
            <w:tcW w:w="9016" w:type="dxa"/>
            <w:gridSpan w:val="2"/>
          </w:tcPr>
          <w:p w14:paraId="22949F47" w14:textId="1920CB5D" w:rsidR="00236442" w:rsidRDefault="00236442" w:rsidP="00236442">
            <w:r>
              <w:t>Provide narrative below</w:t>
            </w:r>
          </w:p>
        </w:tc>
      </w:tr>
      <w:tr w:rsidR="00236442" w14:paraId="170F217A" w14:textId="77777777" w:rsidTr="00E14CD3">
        <w:tc>
          <w:tcPr>
            <w:tcW w:w="9016" w:type="dxa"/>
            <w:gridSpan w:val="2"/>
          </w:tcPr>
          <w:p w14:paraId="159BF370" w14:textId="77777777" w:rsidR="00236442" w:rsidRDefault="00236442" w:rsidP="00236442"/>
          <w:p w14:paraId="472FFD24" w14:textId="28490D9C" w:rsidR="00236442" w:rsidRDefault="00236442" w:rsidP="00236442"/>
        </w:tc>
      </w:tr>
    </w:tbl>
    <w:p w14:paraId="771ADD9F" w14:textId="77777777" w:rsidR="001C7161" w:rsidRDefault="001C7161" w:rsidP="001C7161"/>
    <w:p w14:paraId="5CB5264B" w14:textId="77777777" w:rsidR="001C7161" w:rsidRDefault="001C7161" w:rsidP="001C7161"/>
    <w:p w14:paraId="2C8AE157" w14:textId="77777777" w:rsidR="001C7161" w:rsidRDefault="001C7161" w:rsidP="001C7161"/>
    <w:p w14:paraId="6C173AE4" w14:textId="7436743B"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6CE6" w14:textId="77777777" w:rsidR="00C8075A" w:rsidRDefault="00C8075A" w:rsidP="00C8075A">
      <w:pPr>
        <w:spacing w:after="0" w:line="240" w:lineRule="auto"/>
      </w:pPr>
      <w:r>
        <w:separator/>
      </w:r>
    </w:p>
  </w:endnote>
  <w:endnote w:type="continuationSeparator" w:id="0">
    <w:p w14:paraId="284A84B4" w14:textId="77777777" w:rsidR="00C8075A" w:rsidRDefault="00C8075A"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C361" w14:textId="77777777" w:rsidR="00C8075A" w:rsidRDefault="00C8075A" w:rsidP="00C8075A">
      <w:pPr>
        <w:spacing w:after="0" w:line="240" w:lineRule="auto"/>
      </w:pPr>
      <w:r>
        <w:separator/>
      </w:r>
    </w:p>
  </w:footnote>
  <w:footnote w:type="continuationSeparator" w:id="0">
    <w:p w14:paraId="709A2C73" w14:textId="77777777" w:rsidR="00C8075A" w:rsidRDefault="00C8075A"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1C84" w14:textId="59B96806"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140C5"/>
    <w:rsid w:val="00034F26"/>
    <w:rsid w:val="00043D3A"/>
    <w:rsid w:val="000D140F"/>
    <w:rsid w:val="00103F30"/>
    <w:rsid w:val="00111D84"/>
    <w:rsid w:val="001127DB"/>
    <w:rsid w:val="0012558D"/>
    <w:rsid w:val="00151F88"/>
    <w:rsid w:val="00152A29"/>
    <w:rsid w:val="001A3F78"/>
    <w:rsid w:val="001C7161"/>
    <w:rsid w:val="001D3448"/>
    <w:rsid w:val="001E72D2"/>
    <w:rsid w:val="00202326"/>
    <w:rsid w:val="00204C48"/>
    <w:rsid w:val="0022030B"/>
    <w:rsid w:val="0022135F"/>
    <w:rsid w:val="002313AA"/>
    <w:rsid w:val="00236442"/>
    <w:rsid w:val="0025369A"/>
    <w:rsid w:val="00273B5D"/>
    <w:rsid w:val="00284AB8"/>
    <w:rsid w:val="002941D5"/>
    <w:rsid w:val="002D3357"/>
    <w:rsid w:val="002D398A"/>
    <w:rsid w:val="00307081"/>
    <w:rsid w:val="00362449"/>
    <w:rsid w:val="00375C1E"/>
    <w:rsid w:val="0037773E"/>
    <w:rsid w:val="00377DD4"/>
    <w:rsid w:val="00397172"/>
    <w:rsid w:val="003A37F8"/>
    <w:rsid w:val="003F0D05"/>
    <w:rsid w:val="00415083"/>
    <w:rsid w:val="004563F3"/>
    <w:rsid w:val="00461F70"/>
    <w:rsid w:val="00486605"/>
    <w:rsid w:val="00493F88"/>
    <w:rsid w:val="004B4D8E"/>
    <w:rsid w:val="004C36B2"/>
    <w:rsid w:val="004E4824"/>
    <w:rsid w:val="0051768E"/>
    <w:rsid w:val="00527FC7"/>
    <w:rsid w:val="00532AB5"/>
    <w:rsid w:val="00567F40"/>
    <w:rsid w:val="0057662D"/>
    <w:rsid w:val="00582951"/>
    <w:rsid w:val="00590324"/>
    <w:rsid w:val="005C1CFC"/>
    <w:rsid w:val="005D4129"/>
    <w:rsid w:val="005D70F2"/>
    <w:rsid w:val="005E3414"/>
    <w:rsid w:val="005F29E3"/>
    <w:rsid w:val="00600B96"/>
    <w:rsid w:val="0063084C"/>
    <w:rsid w:val="006B4021"/>
    <w:rsid w:val="006F0783"/>
    <w:rsid w:val="006F1CDE"/>
    <w:rsid w:val="0070759F"/>
    <w:rsid w:val="00711B3F"/>
    <w:rsid w:val="00713728"/>
    <w:rsid w:val="00714D2B"/>
    <w:rsid w:val="00723805"/>
    <w:rsid w:val="00731447"/>
    <w:rsid w:val="00733F0F"/>
    <w:rsid w:val="00756853"/>
    <w:rsid w:val="007737AC"/>
    <w:rsid w:val="00782B52"/>
    <w:rsid w:val="0079117D"/>
    <w:rsid w:val="007A17E7"/>
    <w:rsid w:val="007C6772"/>
    <w:rsid w:val="007D7D31"/>
    <w:rsid w:val="00813604"/>
    <w:rsid w:val="00815911"/>
    <w:rsid w:val="00836752"/>
    <w:rsid w:val="008B71E2"/>
    <w:rsid w:val="008B7939"/>
    <w:rsid w:val="008C1D93"/>
    <w:rsid w:val="008E4FEF"/>
    <w:rsid w:val="0091177F"/>
    <w:rsid w:val="009142D5"/>
    <w:rsid w:val="00922EB5"/>
    <w:rsid w:val="009269FC"/>
    <w:rsid w:val="00927DAB"/>
    <w:rsid w:val="00934A9D"/>
    <w:rsid w:val="00961F80"/>
    <w:rsid w:val="00976486"/>
    <w:rsid w:val="00977111"/>
    <w:rsid w:val="00986A8B"/>
    <w:rsid w:val="0099422E"/>
    <w:rsid w:val="009A014D"/>
    <w:rsid w:val="009B234A"/>
    <w:rsid w:val="009B2479"/>
    <w:rsid w:val="009B64B4"/>
    <w:rsid w:val="009C3BBE"/>
    <w:rsid w:val="009C4A49"/>
    <w:rsid w:val="009C6FD0"/>
    <w:rsid w:val="009D31F2"/>
    <w:rsid w:val="009E2F53"/>
    <w:rsid w:val="009F3C23"/>
    <w:rsid w:val="00A2383B"/>
    <w:rsid w:val="00A36498"/>
    <w:rsid w:val="00A75B63"/>
    <w:rsid w:val="00AB78A4"/>
    <w:rsid w:val="00AD0FCC"/>
    <w:rsid w:val="00AD7C25"/>
    <w:rsid w:val="00B15DFD"/>
    <w:rsid w:val="00B32C39"/>
    <w:rsid w:val="00B43AB3"/>
    <w:rsid w:val="00B6586A"/>
    <w:rsid w:val="00B80635"/>
    <w:rsid w:val="00B931CB"/>
    <w:rsid w:val="00C16F10"/>
    <w:rsid w:val="00C33AB5"/>
    <w:rsid w:val="00C4344B"/>
    <w:rsid w:val="00C5744E"/>
    <w:rsid w:val="00C70A3A"/>
    <w:rsid w:val="00C8075A"/>
    <w:rsid w:val="00C84C91"/>
    <w:rsid w:val="00CE7167"/>
    <w:rsid w:val="00CF02F5"/>
    <w:rsid w:val="00CF32C3"/>
    <w:rsid w:val="00D121BF"/>
    <w:rsid w:val="00D1222F"/>
    <w:rsid w:val="00D17CF3"/>
    <w:rsid w:val="00D73376"/>
    <w:rsid w:val="00D87366"/>
    <w:rsid w:val="00D906FC"/>
    <w:rsid w:val="00DC04C5"/>
    <w:rsid w:val="00DD6CF9"/>
    <w:rsid w:val="00DE56EC"/>
    <w:rsid w:val="00E14CD3"/>
    <w:rsid w:val="00EA225F"/>
    <w:rsid w:val="00EA68FC"/>
    <w:rsid w:val="00EC7EBD"/>
    <w:rsid w:val="00EE4789"/>
    <w:rsid w:val="00F13242"/>
    <w:rsid w:val="00F30F79"/>
    <w:rsid w:val="00F36050"/>
    <w:rsid w:val="00F73FD0"/>
    <w:rsid w:val="00F77F69"/>
    <w:rsid w:val="00F8726D"/>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3600"/>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Gopal, Dev</cp:lastModifiedBy>
  <cp:revision>8</cp:revision>
  <dcterms:created xsi:type="dcterms:W3CDTF">2023-07-04T11:50:00Z</dcterms:created>
  <dcterms:modified xsi:type="dcterms:W3CDTF">2024-03-13T14:37:00Z</dcterms:modified>
</cp:coreProperties>
</file>