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6469"/>
      </w:tblGrid>
      <w:tr w:rsidR="001C7161" w14:paraId="149AEC5A" w14:textId="77777777" w:rsidTr="00010C67">
        <w:tc>
          <w:tcPr>
            <w:tcW w:w="2547" w:type="dxa"/>
          </w:tcPr>
          <w:p w14:paraId="6748DF57" w14:textId="77777777" w:rsidR="001C7161" w:rsidRPr="009E2F53" w:rsidRDefault="00010C67" w:rsidP="001C7161">
            <w:pPr>
              <w:rPr>
                <w:b/>
              </w:rPr>
            </w:pPr>
            <w:r>
              <w:rPr>
                <w:b/>
              </w:rPr>
              <w:t>Directorate</w:t>
            </w:r>
          </w:p>
        </w:tc>
        <w:tc>
          <w:tcPr>
            <w:tcW w:w="6469" w:type="dxa"/>
          </w:tcPr>
          <w:p w14:paraId="71ACFE0B" w14:textId="77777777" w:rsidR="001C7161" w:rsidRPr="009B64B4" w:rsidRDefault="00961F80" w:rsidP="001C7161">
            <w:pPr>
              <w:rPr>
                <w:b/>
              </w:rPr>
            </w:pPr>
            <w:r>
              <w:rPr>
                <w:b/>
              </w:rPr>
              <w:t>Chief Executive</w:t>
            </w:r>
          </w:p>
        </w:tc>
      </w:tr>
      <w:tr w:rsidR="00A2383B" w14:paraId="4CA3BAE4" w14:textId="77777777" w:rsidTr="00010C67">
        <w:trPr>
          <w:trHeight w:val="277"/>
        </w:trPr>
        <w:tc>
          <w:tcPr>
            <w:tcW w:w="2547" w:type="dxa"/>
          </w:tcPr>
          <w:p w14:paraId="1669F205" w14:textId="77777777" w:rsidR="00A2383B" w:rsidRDefault="00A2383B" w:rsidP="001C7161">
            <w:pPr>
              <w:rPr>
                <w:b/>
              </w:rPr>
            </w:pPr>
            <w:r>
              <w:rPr>
                <w:b/>
              </w:rPr>
              <w:t>Combined Tracker Ref.</w:t>
            </w:r>
          </w:p>
        </w:tc>
        <w:tc>
          <w:tcPr>
            <w:tcW w:w="6469" w:type="dxa"/>
          </w:tcPr>
          <w:p w14:paraId="79765B91" w14:textId="77777777" w:rsidR="00A2383B" w:rsidRPr="009B64B4" w:rsidRDefault="00F72346" w:rsidP="001C7161">
            <w:pPr>
              <w:rPr>
                <w:b/>
              </w:rPr>
            </w:pPr>
            <w:r>
              <w:rPr>
                <w:b/>
              </w:rPr>
              <w:t>FRB/23/004</w:t>
            </w:r>
          </w:p>
        </w:tc>
      </w:tr>
      <w:tr w:rsidR="001C7161" w14:paraId="1632B656" w14:textId="77777777" w:rsidTr="00010C67">
        <w:trPr>
          <w:trHeight w:val="277"/>
        </w:trPr>
        <w:tc>
          <w:tcPr>
            <w:tcW w:w="2547" w:type="dxa"/>
          </w:tcPr>
          <w:p w14:paraId="4045A85A" w14:textId="77777777" w:rsidR="001C7161" w:rsidRPr="009E2F53" w:rsidRDefault="00010C67" w:rsidP="001C7161">
            <w:pPr>
              <w:rPr>
                <w:b/>
              </w:rPr>
            </w:pPr>
            <w:r>
              <w:rPr>
                <w:b/>
              </w:rPr>
              <w:t>Service Director</w:t>
            </w:r>
          </w:p>
        </w:tc>
        <w:tc>
          <w:tcPr>
            <w:tcW w:w="6469" w:type="dxa"/>
          </w:tcPr>
          <w:p w14:paraId="4B585146" w14:textId="77777777" w:rsidR="001C7161" w:rsidRPr="009B64B4" w:rsidRDefault="00F13242" w:rsidP="001C7161">
            <w:pPr>
              <w:rPr>
                <w:b/>
              </w:rPr>
            </w:pPr>
            <w:r>
              <w:rPr>
                <w:b/>
              </w:rPr>
              <w:t>Dev Gopal</w:t>
            </w:r>
          </w:p>
        </w:tc>
      </w:tr>
      <w:tr w:rsidR="001C7161" w14:paraId="09EDB33D" w14:textId="77777777" w:rsidTr="00010C67">
        <w:tc>
          <w:tcPr>
            <w:tcW w:w="2547" w:type="dxa"/>
          </w:tcPr>
          <w:p w14:paraId="3289B4CB" w14:textId="77777777" w:rsidR="001C7161" w:rsidRPr="009E2F53" w:rsidRDefault="00010C67" w:rsidP="001C7161">
            <w:pPr>
              <w:rPr>
                <w:b/>
              </w:rPr>
            </w:pPr>
            <w:r>
              <w:rPr>
                <w:b/>
              </w:rPr>
              <w:t>Service Area</w:t>
            </w:r>
          </w:p>
        </w:tc>
        <w:tc>
          <w:tcPr>
            <w:tcW w:w="6469" w:type="dxa"/>
          </w:tcPr>
          <w:p w14:paraId="67E9A862" w14:textId="77777777" w:rsidR="001C7161" w:rsidRPr="009B64B4" w:rsidRDefault="00F72346" w:rsidP="001C7161">
            <w:pPr>
              <w:rPr>
                <w:b/>
              </w:rPr>
            </w:pPr>
            <w:r>
              <w:rPr>
                <w:b/>
              </w:rPr>
              <w:t>Accountancy Services Employee Overspend</w:t>
            </w:r>
          </w:p>
        </w:tc>
      </w:tr>
      <w:tr w:rsidR="001C7161" w14:paraId="1D05A642" w14:textId="77777777" w:rsidTr="00010C67">
        <w:trPr>
          <w:trHeight w:val="276"/>
        </w:trPr>
        <w:tc>
          <w:tcPr>
            <w:tcW w:w="2547" w:type="dxa"/>
          </w:tcPr>
          <w:p w14:paraId="7F01D365" w14:textId="77777777" w:rsidR="001C7161" w:rsidRPr="009E2F53" w:rsidRDefault="00010C67" w:rsidP="001C7161">
            <w:pPr>
              <w:rPr>
                <w:b/>
              </w:rPr>
            </w:pPr>
            <w:r>
              <w:rPr>
                <w:b/>
              </w:rPr>
              <w:t>Service Manager</w:t>
            </w:r>
          </w:p>
        </w:tc>
        <w:tc>
          <w:tcPr>
            <w:tcW w:w="6469" w:type="dxa"/>
          </w:tcPr>
          <w:p w14:paraId="0417B84A" w14:textId="77777777" w:rsidR="001C7161" w:rsidRPr="009B64B4" w:rsidRDefault="00392697" w:rsidP="00392697">
            <w:pPr>
              <w:rPr>
                <w:b/>
              </w:rPr>
            </w:pPr>
            <w:r>
              <w:rPr>
                <w:b/>
              </w:rPr>
              <w:t>Darren</w:t>
            </w:r>
            <w:r w:rsidR="00BA1B84">
              <w:rPr>
                <w:b/>
              </w:rPr>
              <w:t xml:space="preserve"> </w:t>
            </w:r>
            <w:r>
              <w:rPr>
                <w:b/>
              </w:rPr>
              <w:t>Lambert</w:t>
            </w:r>
            <w:r w:rsidR="00BA1B84">
              <w:rPr>
                <w:b/>
              </w:rPr>
              <w:t xml:space="preserve"> (FT</w:t>
            </w:r>
            <w:r>
              <w:rPr>
                <w:b/>
              </w:rPr>
              <w:t>50</w:t>
            </w:r>
            <w:r w:rsidR="00BA1B84">
              <w:rPr>
                <w:b/>
              </w:rPr>
              <w:t>00</w:t>
            </w:r>
            <w:r>
              <w:rPr>
                <w:b/>
              </w:rPr>
              <w:t xml:space="preserve"> </w:t>
            </w:r>
            <w:r w:rsidR="00B042E5">
              <w:rPr>
                <w:b/>
              </w:rPr>
              <w:t xml:space="preserve">&amp; </w:t>
            </w:r>
            <w:r>
              <w:rPr>
                <w:b/>
              </w:rPr>
              <w:t>AC1009</w:t>
            </w:r>
            <w:r w:rsidR="00BA1B84">
              <w:rPr>
                <w:b/>
              </w:rPr>
              <w:t>)</w:t>
            </w:r>
            <w:r w:rsidR="00502FC3">
              <w:rPr>
                <w:b/>
              </w:rPr>
              <w:t xml:space="preserve"> only</w:t>
            </w:r>
          </w:p>
        </w:tc>
      </w:tr>
      <w:tr w:rsidR="009B234A" w14:paraId="1B759205" w14:textId="77777777" w:rsidTr="00010C67">
        <w:trPr>
          <w:trHeight w:val="276"/>
        </w:trPr>
        <w:tc>
          <w:tcPr>
            <w:tcW w:w="2547" w:type="dxa"/>
          </w:tcPr>
          <w:p w14:paraId="7CC7EE5E" w14:textId="77777777" w:rsidR="009B234A" w:rsidRDefault="009B234A" w:rsidP="001C7161">
            <w:pPr>
              <w:rPr>
                <w:b/>
              </w:rPr>
            </w:pPr>
            <w:r>
              <w:rPr>
                <w:b/>
              </w:rPr>
              <w:t>Activity/Cost centres</w:t>
            </w:r>
          </w:p>
        </w:tc>
        <w:tc>
          <w:tcPr>
            <w:tcW w:w="6469" w:type="dxa"/>
          </w:tcPr>
          <w:p w14:paraId="1D10756D" w14:textId="77777777" w:rsidR="009B234A" w:rsidRPr="00B53835" w:rsidRDefault="00F72346" w:rsidP="00111D84">
            <w:pPr>
              <w:rPr>
                <w:b/>
                <w:color w:val="FF0000"/>
              </w:rPr>
            </w:pPr>
            <w:r>
              <w:rPr>
                <w:b/>
              </w:rPr>
              <w:t>Level 3 FFAC (covers FF1000. FT4100,</w:t>
            </w:r>
            <w:r w:rsidR="00B042E5">
              <w:rPr>
                <w:b/>
              </w:rPr>
              <w:t>FT4110,</w:t>
            </w:r>
            <w:r>
              <w:rPr>
                <w:b/>
              </w:rPr>
              <w:t xml:space="preserve"> FT5000, FT6000 and FT7000)</w:t>
            </w:r>
            <w:r w:rsidR="00B53835">
              <w:rPr>
                <w:b/>
                <w:color w:val="FF0000"/>
              </w:rPr>
              <w:t>FT5000 only</w:t>
            </w:r>
          </w:p>
        </w:tc>
      </w:tr>
      <w:tr w:rsidR="009B234A" w14:paraId="4299FB77" w14:textId="77777777" w:rsidTr="00010C67">
        <w:trPr>
          <w:trHeight w:val="276"/>
        </w:trPr>
        <w:tc>
          <w:tcPr>
            <w:tcW w:w="2547" w:type="dxa"/>
          </w:tcPr>
          <w:p w14:paraId="086F7EDF" w14:textId="77777777" w:rsidR="009B234A" w:rsidRDefault="009B234A" w:rsidP="001C7161">
            <w:pPr>
              <w:rPr>
                <w:b/>
              </w:rPr>
            </w:pPr>
            <w:r>
              <w:rPr>
                <w:b/>
              </w:rPr>
              <w:t>22/23 Budget £’000</w:t>
            </w:r>
          </w:p>
        </w:tc>
        <w:tc>
          <w:tcPr>
            <w:tcW w:w="6469" w:type="dxa"/>
          </w:tcPr>
          <w:p w14:paraId="3862D534" w14:textId="77777777" w:rsidR="009B234A" w:rsidRPr="00B53835" w:rsidRDefault="00F72346" w:rsidP="00977111">
            <w:pPr>
              <w:rPr>
                <w:b/>
                <w:color w:val="FF0000"/>
              </w:rPr>
            </w:pPr>
            <w:r>
              <w:rPr>
                <w:b/>
              </w:rPr>
              <w:t>2,550</w:t>
            </w:r>
            <w:r w:rsidR="00B53835">
              <w:rPr>
                <w:b/>
              </w:rPr>
              <w:t xml:space="preserve"> </w:t>
            </w:r>
            <w:r w:rsidR="00B53835">
              <w:rPr>
                <w:b/>
                <w:color w:val="FF0000"/>
              </w:rPr>
              <w:t>-4</w:t>
            </w:r>
          </w:p>
        </w:tc>
      </w:tr>
      <w:tr w:rsidR="009B234A" w14:paraId="30F3847A" w14:textId="77777777" w:rsidTr="00010C67">
        <w:trPr>
          <w:trHeight w:val="276"/>
        </w:trPr>
        <w:tc>
          <w:tcPr>
            <w:tcW w:w="2547" w:type="dxa"/>
          </w:tcPr>
          <w:p w14:paraId="2850DA53" w14:textId="77777777" w:rsidR="009B234A" w:rsidRDefault="009B234A" w:rsidP="001C7161">
            <w:pPr>
              <w:rPr>
                <w:b/>
              </w:rPr>
            </w:pPr>
            <w:r>
              <w:rPr>
                <w:b/>
              </w:rPr>
              <w:t>22/23 Outturn £’000</w:t>
            </w:r>
          </w:p>
        </w:tc>
        <w:tc>
          <w:tcPr>
            <w:tcW w:w="6469" w:type="dxa"/>
          </w:tcPr>
          <w:p w14:paraId="40D470AD" w14:textId="77777777" w:rsidR="009B234A" w:rsidRPr="00B53835" w:rsidRDefault="00F72346" w:rsidP="00977111">
            <w:pPr>
              <w:rPr>
                <w:b/>
                <w:color w:val="FF0000"/>
              </w:rPr>
            </w:pPr>
            <w:r>
              <w:rPr>
                <w:b/>
              </w:rPr>
              <w:t>2,940</w:t>
            </w:r>
            <w:r w:rsidR="00B53835">
              <w:rPr>
                <w:b/>
              </w:rPr>
              <w:t xml:space="preserve"> </w:t>
            </w:r>
            <w:r w:rsidR="00B53835">
              <w:rPr>
                <w:b/>
                <w:color w:val="FF0000"/>
              </w:rPr>
              <w:t>61</w:t>
            </w:r>
          </w:p>
        </w:tc>
      </w:tr>
      <w:tr w:rsidR="009B234A" w14:paraId="7191B258" w14:textId="77777777" w:rsidTr="00010C67">
        <w:trPr>
          <w:trHeight w:val="276"/>
        </w:trPr>
        <w:tc>
          <w:tcPr>
            <w:tcW w:w="2547" w:type="dxa"/>
          </w:tcPr>
          <w:p w14:paraId="092DF7D1" w14:textId="77777777" w:rsidR="009B234A" w:rsidRDefault="009B234A" w:rsidP="001C7161">
            <w:pPr>
              <w:rPr>
                <w:b/>
              </w:rPr>
            </w:pPr>
            <w:r>
              <w:rPr>
                <w:b/>
              </w:rPr>
              <w:t>23/24 Budget £’000</w:t>
            </w:r>
          </w:p>
        </w:tc>
        <w:tc>
          <w:tcPr>
            <w:tcW w:w="6469" w:type="dxa"/>
          </w:tcPr>
          <w:p w14:paraId="4388C8F2" w14:textId="77777777" w:rsidR="009B234A" w:rsidRPr="00B53835" w:rsidRDefault="00F72346" w:rsidP="00F30F79">
            <w:pPr>
              <w:rPr>
                <w:b/>
                <w:color w:val="FF0000"/>
              </w:rPr>
            </w:pPr>
            <w:r>
              <w:rPr>
                <w:b/>
              </w:rPr>
              <w:t>3,078</w:t>
            </w:r>
            <w:r w:rsidR="00B53835">
              <w:rPr>
                <w:b/>
              </w:rPr>
              <w:t xml:space="preserve"> </w:t>
            </w:r>
            <w:r w:rsidR="00B53835">
              <w:rPr>
                <w:b/>
                <w:color w:val="FF0000"/>
              </w:rPr>
              <w:t>0</w:t>
            </w:r>
          </w:p>
        </w:tc>
      </w:tr>
      <w:tr w:rsidR="00010C67" w14:paraId="24659BCD" w14:textId="77777777" w:rsidTr="00010C67">
        <w:trPr>
          <w:trHeight w:val="276"/>
        </w:trPr>
        <w:tc>
          <w:tcPr>
            <w:tcW w:w="2547" w:type="dxa"/>
          </w:tcPr>
          <w:p w14:paraId="7D73D047" w14:textId="77777777" w:rsidR="00010C67" w:rsidRDefault="009B234A" w:rsidP="001C7161">
            <w:pPr>
              <w:rPr>
                <w:b/>
              </w:rPr>
            </w:pPr>
            <w:r>
              <w:rPr>
                <w:b/>
              </w:rPr>
              <w:t>Pressure on this activity in 23/24</w:t>
            </w:r>
            <w:r w:rsidR="00010C67">
              <w:rPr>
                <w:b/>
              </w:rPr>
              <w:t xml:space="preserve"> </w:t>
            </w:r>
            <w:r>
              <w:rPr>
                <w:b/>
              </w:rPr>
              <w:t xml:space="preserve">(based on 22/23 outturn) </w:t>
            </w:r>
            <w:r w:rsidR="00010C67">
              <w:rPr>
                <w:b/>
              </w:rPr>
              <w:t>£’000</w:t>
            </w:r>
          </w:p>
        </w:tc>
        <w:tc>
          <w:tcPr>
            <w:tcW w:w="6469" w:type="dxa"/>
          </w:tcPr>
          <w:p w14:paraId="5F0A2CCD" w14:textId="77777777" w:rsidR="00010C67" w:rsidRPr="00B53835" w:rsidRDefault="00392697" w:rsidP="00392697">
            <w:pPr>
              <w:rPr>
                <w:b/>
                <w:color w:val="FF0000"/>
              </w:rPr>
            </w:pPr>
            <w:r>
              <w:rPr>
                <w:b/>
              </w:rPr>
              <w:t>11</w:t>
            </w:r>
            <w:r w:rsidR="00B042E5">
              <w:rPr>
                <w:b/>
              </w:rPr>
              <w:t xml:space="preserve">7   </w:t>
            </w:r>
            <w:r w:rsidR="00B53835">
              <w:rPr>
                <w:b/>
                <w:color w:val="FF0000"/>
              </w:rPr>
              <w:t>65</w:t>
            </w:r>
          </w:p>
        </w:tc>
      </w:tr>
    </w:tbl>
    <w:p w14:paraId="6916CD74" w14:textId="77777777" w:rsidR="001C7161" w:rsidRDefault="001C7161" w:rsidP="001C7161"/>
    <w:tbl>
      <w:tblPr>
        <w:tblStyle w:val="TableGrid"/>
        <w:tblW w:w="0" w:type="auto"/>
        <w:tblLook w:val="04A0" w:firstRow="1" w:lastRow="0" w:firstColumn="1" w:lastColumn="0" w:noHBand="0" w:noVBand="1"/>
      </w:tblPr>
      <w:tblGrid>
        <w:gridCol w:w="9016"/>
      </w:tblGrid>
      <w:tr w:rsidR="001C7161" w14:paraId="162A803B" w14:textId="77777777" w:rsidTr="001C7161">
        <w:tc>
          <w:tcPr>
            <w:tcW w:w="9242" w:type="dxa"/>
          </w:tcPr>
          <w:p w14:paraId="2AD4CE02" w14:textId="77777777" w:rsidR="001C7161" w:rsidRDefault="00010C67" w:rsidP="001C7161">
            <w:pPr>
              <w:rPr>
                <w:b/>
              </w:rPr>
            </w:pPr>
            <w:r>
              <w:rPr>
                <w:b/>
              </w:rPr>
              <w:t>Explain the context behind th</w:t>
            </w:r>
            <w:r w:rsidR="009B234A">
              <w:rPr>
                <w:b/>
              </w:rPr>
              <w:t>is pressure</w:t>
            </w:r>
            <w:r>
              <w:rPr>
                <w:b/>
              </w:rPr>
              <w:t xml:space="preserve"> and what has caused it</w:t>
            </w:r>
          </w:p>
          <w:p w14:paraId="40EFE7A9" w14:textId="77777777" w:rsidR="00927DAB" w:rsidRDefault="00927DAB" w:rsidP="00927DAB">
            <w:pPr>
              <w:pStyle w:val="ListParagraph"/>
              <w:numPr>
                <w:ilvl w:val="0"/>
                <w:numId w:val="3"/>
              </w:numPr>
              <w:rPr>
                <w:b/>
              </w:rPr>
            </w:pPr>
            <w:r>
              <w:rPr>
                <w:b/>
              </w:rPr>
              <w:t>Since when has the budget been in deficit (provide the year, e.g. 2020/21)</w:t>
            </w:r>
          </w:p>
          <w:p w14:paraId="4E971C6E" w14:textId="77777777" w:rsidR="00927DAB" w:rsidRPr="00927DAB" w:rsidRDefault="00927DAB" w:rsidP="00927DAB">
            <w:pPr>
              <w:pStyle w:val="ListParagraph"/>
              <w:numPr>
                <w:ilvl w:val="0"/>
                <w:numId w:val="3"/>
              </w:numPr>
              <w:rPr>
                <w:b/>
              </w:rPr>
            </w:pPr>
            <w:r>
              <w:rPr>
                <w:b/>
              </w:rPr>
              <w:t>Provide details of activity levels and the key cost/income drivers and how these have changed (this is needed for each year including the year prior to when the budget was first in deficit)</w:t>
            </w:r>
          </w:p>
        </w:tc>
      </w:tr>
      <w:tr w:rsidR="001C7161" w14:paraId="32E2AE5C" w14:textId="77777777" w:rsidTr="001C7161">
        <w:tc>
          <w:tcPr>
            <w:tcW w:w="9242" w:type="dxa"/>
          </w:tcPr>
          <w:p w14:paraId="778609DB" w14:textId="77777777" w:rsidR="009B64B4" w:rsidRDefault="00B53835" w:rsidP="001C7161">
            <w:r>
              <w:t>The budget has been in deficit since 21/22.</w:t>
            </w:r>
          </w:p>
          <w:p w14:paraId="6C352020" w14:textId="77777777" w:rsidR="00B53835" w:rsidRDefault="00B53835" w:rsidP="001C7161">
            <w:r>
              <w:t xml:space="preserve">Main drivers for this are </w:t>
            </w:r>
          </w:p>
          <w:p w14:paraId="4D1E5858" w14:textId="77777777" w:rsidR="00B53835" w:rsidRDefault="00B53835" w:rsidP="00B53835">
            <w:pPr>
              <w:pStyle w:val="ListParagraph"/>
              <w:numPr>
                <w:ilvl w:val="0"/>
                <w:numId w:val="4"/>
              </w:numPr>
            </w:pPr>
            <w:r>
              <w:t>Vacant principal Accountant post that has had to be covered by agency as unable to recruit permanently</w:t>
            </w:r>
          </w:p>
          <w:p w14:paraId="20301764" w14:textId="77777777" w:rsidR="00B53835" w:rsidRDefault="00B53835" w:rsidP="00B53835">
            <w:pPr>
              <w:pStyle w:val="ListParagraph"/>
              <w:numPr>
                <w:ilvl w:val="0"/>
                <w:numId w:val="4"/>
              </w:numPr>
            </w:pPr>
            <w:r>
              <w:t>Unachieved turnover provision £12k and unachieved historic savings target £12k</w:t>
            </w:r>
          </w:p>
          <w:p w14:paraId="6FFE0E9F" w14:textId="77777777" w:rsidR="00010C67" w:rsidRDefault="00B53835" w:rsidP="009050B7">
            <w:pPr>
              <w:pStyle w:val="ListParagraph"/>
              <w:numPr>
                <w:ilvl w:val="0"/>
                <w:numId w:val="4"/>
              </w:numPr>
            </w:pPr>
            <w:r>
              <w:t>Unachieved income target (target is £100k but only get £75k from SEMLEP)</w:t>
            </w:r>
          </w:p>
          <w:p w14:paraId="0083EBEB" w14:textId="77777777" w:rsidR="00010C67" w:rsidRDefault="00010C67" w:rsidP="001C7161"/>
          <w:p w14:paraId="5FFE371D" w14:textId="77777777" w:rsidR="00010C67" w:rsidRDefault="00010C67" w:rsidP="001C7161"/>
          <w:p w14:paraId="36953BD6" w14:textId="77777777" w:rsidR="00010C67" w:rsidRDefault="00010C67" w:rsidP="001C7161"/>
          <w:p w14:paraId="1625600E" w14:textId="77777777" w:rsidR="00010C67" w:rsidRDefault="00010C67" w:rsidP="001C7161"/>
        </w:tc>
      </w:tr>
    </w:tbl>
    <w:p w14:paraId="3D47DEE2" w14:textId="77777777" w:rsidR="001C7161" w:rsidRDefault="001C7161" w:rsidP="001C7161"/>
    <w:tbl>
      <w:tblPr>
        <w:tblStyle w:val="TableGrid"/>
        <w:tblW w:w="0" w:type="auto"/>
        <w:tblLook w:val="04A0" w:firstRow="1" w:lastRow="0" w:firstColumn="1" w:lastColumn="0" w:noHBand="0" w:noVBand="1"/>
      </w:tblPr>
      <w:tblGrid>
        <w:gridCol w:w="9016"/>
      </w:tblGrid>
      <w:tr w:rsidR="009B64B4" w14:paraId="40ECE604" w14:textId="77777777" w:rsidTr="009B64B4">
        <w:tc>
          <w:tcPr>
            <w:tcW w:w="9242" w:type="dxa"/>
          </w:tcPr>
          <w:p w14:paraId="093E4751" w14:textId="77777777" w:rsidR="009B64B4" w:rsidRDefault="009B234A" w:rsidP="001C7161">
            <w:pPr>
              <w:rPr>
                <w:b/>
              </w:rPr>
            </w:pPr>
            <w:r>
              <w:rPr>
                <w:b/>
              </w:rPr>
              <w:t>What action(s) can be taken to keep 23/24 spend in line with approved budget?</w:t>
            </w:r>
          </w:p>
          <w:p w14:paraId="35429F48" w14:textId="77777777" w:rsidR="00010C67" w:rsidRPr="00010C67" w:rsidRDefault="00010C67" w:rsidP="00010C67">
            <w:pPr>
              <w:pStyle w:val="ListParagraph"/>
              <w:numPr>
                <w:ilvl w:val="0"/>
                <w:numId w:val="1"/>
              </w:numPr>
              <w:rPr>
                <w:b/>
              </w:rPr>
            </w:pPr>
            <w:r>
              <w:rPr>
                <w:b/>
              </w:rPr>
              <w:t>What needs to be done?  If there is more than one option explain each option in detail</w:t>
            </w:r>
          </w:p>
          <w:p w14:paraId="57E5511D" w14:textId="77777777" w:rsidR="00010C67" w:rsidRDefault="00010C67" w:rsidP="00010C67">
            <w:pPr>
              <w:pStyle w:val="ListParagraph"/>
              <w:numPr>
                <w:ilvl w:val="0"/>
                <w:numId w:val="1"/>
              </w:numPr>
              <w:rPr>
                <w:b/>
              </w:rPr>
            </w:pPr>
            <w:r>
              <w:rPr>
                <w:b/>
              </w:rPr>
              <w:t>Are there any barriers or factors beyond your control that will affect your ability to recover the deficit?</w:t>
            </w:r>
          </w:p>
          <w:p w14:paraId="1365BC13" w14:textId="77777777" w:rsidR="00927DAB" w:rsidRPr="00010C67" w:rsidRDefault="00927DAB" w:rsidP="00010C67">
            <w:pPr>
              <w:pStyle w:val="ListParagraph"/>
              <w:numPr>
                <w:ilvl w:val="0"/>
                <w:numId w:val="1"/>
              </w:numPr>
              <w:rPr>
                <w:b/>
              </w:rPr>
            </w:pPr>
            <w:r>
              <w:rPr>
                <w:b/>
              </w:rPr>
              <w:t>Explain how the cost/income drivers can be managed</w:t>
            </w:r>
          </w:p>
        </w:tc>
      </w:tr>
      <w:tr w:rsidR="009B64B4" w14:paraId="645510A2" w14:textId="77777777" w:rsidTr="009B64B4">
        <w:tc>
          <w:tcPr>
            <w:tcW w:w="9242" w:type="dxa"/>
          </w:tcPr>
          <w:p w14:paraId="5B40FB5F" w14:textId="77777777" w:rsidR="001D02D1" w:rsidRDefault="00B53835" w:rsidP="001C7161">
            <w:r>
              <w:t>Principal Accountant agency ceased at end of May.  Post has been vacant since but is out to advert.  Also have an M1 post that is vacant despite 2 recruitment attempts.  It is likely that further agency support will be required at the Principal Accountant level for up to 6 months.  Once both</w:t>
            </w:r>
            <w:r w:rsidR="001D02D1">
              <w:t xml:space="preserve"> posts are permanently recruited to, employee costs will be contained but the turnover provision/savings target will not be achieved.</w:t>
            </w:r>
          </w:p>
          <w:p w14:paraId="66F85622" w14:textId="77777777" w:rsidR="001D02D1" w:rsidRDefault="001D02D1" w:rsidP="001C7161"/>
          <w:p w14:paraId="600D4266" w14:textId="77777777" w:rsidR="009B64B4" w:rsidRDefault="001D02D1" w:rsidP="001C7161">
            <w:r>
              <w:t>Income – the aim is to top slice and recharge time to grants and projects that the team support, e.g. LUF, UKSPF, BSIP.  This will help reduce the shortfall but is not a permanent solution.</w:t>
            </w:r>
          </w:p>
          <w:p w14:paraId="77B91A0B" w14:textId="77777777" w:rsidR="001D02D1" w:rsidRDefault="001D02D1" w:rsidP="001C7161"/>
          <w:p w14:paraId="132913C8" w14:textId="77777777" w:rsidR="00010C67" w:rsidRDefault="001D02D1" w:rsidP="001C7161">
            <w:r>
              <w:t>There is also the risk that SEMLEP may cease operating which puts the £75k income at risk.</w:t>
            </w:r>
          </w:p>
          <w:p w14:paraId="29E895D5" w14:textId="77777777" w:rsidR="00010C67" w:rsidRDefault="00010C67" w:rsidP="001C7161"/>
          <w:p w14:paraId="5AC8CC5E" w14:textId="77777777" w:rsidR="00010C67" w:rsidRDefault="00010C67" w:rsidP="001C7161"/>
        </w:tc>
      </w:tr>
    </w:tbl>
    <w:p w14:paraId="2E6BF291" w14:textId="77777777" w:rsidR="001C7161" w:rsidRDefault="001C7161" w:rsidP="001C7161"/>
    <w:tbl>
      <w:tblPr>
        <w:tblStyle w:val="TableGrid"/>
        <w:tblW w:w="0" w:type="auto"/>
        <w:tblLook w:val="04A0" w:firstRow="1" w:lastRow="0" w:firstColumn="1" w:lastColumn="0" w:noHBand="0" w:noVBand="1"/>
      </w:tblPr>
      <w:tblGrid>
        <w:gridCol w:w="5746"/>
        <w:gridCol w:w="1588"/>
        <w:gridCol w:w="1682"/>
      </w:tblGrid>
      <w:tr w:rsidR="004C36B2" w14:paraId="20A5CE2C" w14:textId="77777777" w:rsidTr="004C36B2">
        <w:tc>
          <w:tcPr>
            <w:tcW w:w="9016" w:type="dxa"/>
            <w:gridSpan w:val="3"/>
            <w:tcBorders>
              <w:bottom w:val="single" w:sz="4" w:space="0" w:color="auto"/>
            </w:tcBorders>
          </w:tcPr>
          <w:p w14:paraId="7E4564BC" w14:textId="77777777" w:rsidR="004C36B2" w:rsidRDefault="004C36B2" w:rsidP="001C7161">
            <w:pPr>
              <w:rPr>
                <w:b/>
              </w:rPr>
            </w:pPr>
            <w:r>
              <w:rPr>
                <w:b/>
              </w:rPr>
              <w:lastRenderedPageBreak/>
              <w:t>Timescale for budget deficit recovery</w:t>
            </w:r>
          </w:p>
          <w:p w14:paraId="47368C1D" w14:textId="77777777" w:rsidR="004C36B2" w:rsidRDefault="004C36B2" w:rsidP="00010C67">
            <w:pPr>
              <w:pStyle w:val="ListParagraph"/>
              <w:numPr>
                <w:ilvl w:val="0"/>
                <w:numId w:val="2"/>
              </w:numPr>
              <w:rPr>
                <w:b/>
              </w:rPr>
            </w:pPr>
            <w:r>
              <w:rPr>
                <w:b/>
              </w:rPr>
              <w:t xml:space="preserve">List the key milestones required to deliver the budget recovery, the estimated amount to be delivered and the estimated date for each </w:t>
            </w:r>
          </w:p>
          <w:p w14:paraId="12AA0C47" w14:textId="77777777" w:rsidR="004C36B2" w:rsidRPr="00E14CD3" w:rsidRDefault="004C36B2" w:rsidP="00E14CD3">
            <w:pPr>
              <w:pStyle w:val="ListParagraph"/>
              <w:rPr>
                <w:b/>
              </w:rPr>
            </w:pPr>
          </w:p>
        </w:tc>
      </w:tr>
      <w:tr w:rsidR="004C36B2" w14:paraId="416A7280" w14:textId="77777777" w:rsidTr="004C36B2">
        <w:tc>
          <w:tcPr>
            <w:tcW w:w="5746" w:type="dxa"/>
            <w:shd w:val="pct30" w:color="auto" w:fill="auto"/>
          </w:tcPr>
          <w:p w14:paraId="13E32150" w14:textId="77777777" w:rsidR="004C36B2" w:rsidRDefault="004C36B2" w:rsidP="00E14CD3">
            <w:pPr>
              <w:jc w:val="center"/>
            </w:pPr>
            <w:r>
              <w:t>MILESTONE DETAILS</w:t>
            </w:r>
          </w:p>
        </w:tc>
        <w:tc>
          <w:tcPr>
            <w:tcW w:w="1588" w:type="dxa"/>
            <w:shd w:val="pct30" w:color="auto" w:fill="auto"/>
          </w:tcPr>
          <w:p w14:paraId="0B81BDCD" w14:textId="77777777" w:rsidR="004C36B2" w:rsidRDefault="004C36B2" w:rsidP="00E14CD3">
            <w:pPr>
              <w:jc w:val="center"/>
            </w:pPr>
            <w:r>
              <w:t>£</w:t>
            </w:r>
          </w:p>
        </w:tc>
        <w:tc>
          <w:tcPr>
            <w:tcW w:w="1682" w:type="dxa"/>
            <w:shd w:val="pct30" w:color="auto" w:fill="auto"/>
          </w:tcPr>
          <w:p w14:paraId="0B5B1CBF" w14:textId="77777777" w:rsidR="004C36B2" w:rsidRDefault="004C36B2" w:rsidP="00E14CD3">
            <w:pPr>
              <w:jc w:val="center"/>
            </w:pPr>
            <w:r>
              <w:t>Date</w:t>
            </w:r>
          </w:p>
        </w:tc>
      </w:tr>
      <w:tr w:rsidR="004C36B2" w14:paraId="1DC5FC3E" w14:textId="77777777" w:rsidTr="004C36B2">
        <w:tc>
          <w:tcPr>
            <w:tcW w:w="5746" w:type="dxa"/>
          </w:tcPr>
          <w:p w14:paraId="2BB76B4C" w14:textId="77777777" w:rsidR="004C36B2" w:rsidRDefault="001D02D1" w:rsidP="006B0320">
            <w:r>
              <w:t xml:space="preserve">Recruit to M5 and M1 posts and </w:t>
            </w:r>
            <w:r w:rsidR="006B0320">
              <w:t>allow 12 weeks of ag</w:t>
            </w:r>
            <w:r>
              <w:t>ency</w:t>
            </w:r>
            <w:r w:rsidR="006B0320">
              <w:t xml:space="preserve"> support to generate </w:t>
            </w:r>
          </w:p>
        </w:tc>
        <w:tc>
          <w:tcPr>
            <w:tcW w:w="1588" w:type="dxa"/>
          </w:tcPr>
          <w:p w14:paraId="369C116F" w14:textId="77777777" w:rsidR="004C36B2" w:rsidRDefault="00746EE2" w:rsidP="001C7161">
            <w:r>
              <w:t>£18,000</w:t>
            </w:r>
          </w:p>
        </w:tc>
        <w:tc>
          <w:tcPr>
            <w:tcW w:w="1682" w:type="dxa"/>
          </w:tcPr>
          <w:p w14:paraId="1C55AC76" w14:textId="77777777" w:rsidR="004C36B2" w:rsidRDefault="001D02D1" w:rsidP="001C7161">
            <w:r>
              <w:t>October 2023</w:t>
            </w:r>
          </w:p>
        </w:tc>
      </w:tr>
      <w:tr w:rsidR="004C36B2" w14:paraId="1703E8C6" w14:textId="77777777" w:rsidTr="004C36B2">
        <w:tc>
          <w:tcPr>
            <w:tcW w:w="5746" w:type="dxa"/>
          </w:tcPr>
          <w:p w14:paraId="4F6A940A" w14:textId="77777777" w:rsidR="004C36B2" w:rsidRDefault="001D02D1" w:rsidP="001C7161">
            <w:r>
              <w:t>Recharge time to grant schemes quarterly</w:t>
            </w:r>
          </w:p>
        </w:tc>
        <w:tc>
          <w:tcPr>
            <w:tcW w:w="1588" w:type="dxa"/>
          </w:tcPr>
          <w:p w14:paraId="46BE2258" w14:textId="77777777" w:rsidR="004C36B2" w:rsidRDefault="00746EE2" w:rsidP="001C7161">
            <w:r>
              <w:t>2,000</w:t>
            </w:r>
          </w:p>
        </w:tc>
        <w:tc>
          <w:tcPr>
            <w:tcW w:w="1682" w:type="dxa"/>
          </w:tcPr>
          <w:p w14:paraId="0738543A" w14:textId="77777777" w:rsidR="004C36B2" w:rsidRDefault="001D02D1" w:rsidP="001C7161">
            <w:r>
              <w:t>Sept 23</w:t>
            </w:r>
          </w:p>
        </w:tc>
      </w:tr>
      <w:tr w:rsidR="001D02D1" w14:paraId="0878031B" w14:textId="77777777" w:rsidTr="004C36B2">
        <w:tc>
          <w:tcPr>
            <w:tcW w:w="5746" w:type="dxa"/>
          </w:tcPr>
          <w:p w14:paraId="0C05B426" w14:textId="77777777" w:rsidR="001D02D1" w:rsidRDefault="001D02D1" w:rsidP="001D02D1">
            <w:r>
              <w:t>Recharge time to grant schemes quarterly</w:t>
            </w:r>
          </w:p>
        </w:tc>
        <w:tc>
          <w:tcPr>
            <w:tcW w:w="1588" w:type="dxa"/>
          </w:tcPr>
          <w:p w14:paraId="51DCBC78" w14:textId="77777777" w:rsidR="001D02D1" w:rsidRDefault="00746EE2" w:rsidP="001D02D1">
            <w:r>
              <w:t>2,000</w:t>
            </w:r>
          </w:p>
        </w:tc>
        <w:tc>
          <w:tcPr>
            <w:tcW w:w="1682" w:type="dxa"/>
          </w:tcPr>
          <w:p w14:paraId="1C3716F2" w14:textId="77777777" w:rsidR="001D02D1" w:rsidRDefault="001D02D1" w:rsidP="001D02D1">
            <w:r>
              <w:t>Dec 23</w:t>
            </w:r>
          </w:p>
        </w:tc>
      </w:tr>
      <w:tr w:rsidR="001D02D1" w14:paraId="4978D5DD" w14:textId="77777777" w:rsidTr="004C36B2">
        <w:tc>
          <w:tcPr>
            <w:tcW w:w="5746" w:type="dxa"/>
          </w:tcPr>
          <w:p w14:paraId="7F1BD754" w14:textId="77777777" w:rsidR="001D02D1" w:rsidRDefault="001D02D1" w:rsidP="001D02D1">
            <w:r>
              <w:t>Recharge time to grant schemes quarterly</w:t>
            </w:r>
          </w:p>
        </w:tc>
        <w:tc>
          <w:tcPr>
            <w:tcW w:w="1588" w:type="dxa"/>
          </w:tcPr>
          <w:p w14:paraId="6A20BE61" w14:textId="77777777" w:rsidR="001D02D1" w:rsidRDefault="00746EE2" w:rsidP="001D02D1">
            <w:r>
              <w:t>2,000</w:t>
            </w:r>
          </w:p>
        </w:tc>
        <w:tc>
          <w:tcPr>
            <w:tcW w:w="1682" w:type="dxa"/>
          </w:tcPr>
          <w:p w14:paraId="05347BAA" w14:textId="77777777" w:rsidR="001D02D1" w:rsidRDefault="001D02D1" w:rsidP="001D02D1">
            <w:r>
              <w:t>Mar 24</w:t>
            </w:r>
          </w:p>
        </w:tc>
      </w:tr>
      <w:tr w:rsidR="001D02D1" w14:paraId="4EB4BD51" w14:textId="77777777" w:rsidTr="004C36B2">
        <w:tc>
          <w:tcPr>
            <w:tcW w:w="5746" w:type="dxa"/>
          </w:tcPr>
          <w:p w14:paraId="3BB16676" w14:textId="77777777" w:rsidR="001D02D1" w:rsidRDefault="00746EE2" w:rsidP="001D02D1">
            <w:r>
              <w:t>These measures collectively should ensure that the outturn for FT5000 is within budget</w:t>
            </w:r>
          </w:p>
        </w:tc>
        <w:tc>
          <w:tcPr>
            <w:tcW w:w="1588" w:type="dxa"/>
          </w:tcPr>
          <w:p w14:paraId="1FB49B47" w14:textId="77777777" w:rsidR="001D02D1" w:rsidRDefault="001D02D1" w:rsidP="001D02D1"/>
        </w:tc>
        <w:tc>
          <w:tcPr>
            <w:tcW w:w="1682" w:type="dxa"/>
          </w:tcPr>
          <w:p w14:paraId="6EB5C789" w14:textId="77777777" w:rsidR="001D02D1" w:rsidRDefault="001D02D1" w:rsidP="001D02D1"/>
        </w:tc>
      </w:tr>
    </w:tbl>
    <w:p w14:paraId="06CFB1A8" w14:textId="77777777" w:rsidR="00E14CD3" w:rsidRDefault="00E14CD3">
      <w:r>
        <w:br w:type="page"/>
      </w:r>
    </w:p>
    <w:p w14:paraId="68DF3CB7" w14:textId="77777777" w:rsidR="001C7161" w:rsidRDefault="001C7161" w:rsidP="001C7161"/>
    <w:tbl>
      <w:tblPr>
        <w:tblStyle w:val="TableGrid"/>
        <w:tblW w:w="0" w:type="auto"/>
        <w:tblLook w:val="04A0" w:firstRow="1" w:lastRow="0" w:firstColumn="1" w:lastColumn="0" w:noHBand="0" w:noVBand="1"/>
      </w:tblPr>
      <w:tblGrid>
        <w:gridCol w:w="7366"/>
        <w:gridCol w:w="1650"/>
      </w:tblGrid>
      <w:tr w:rsidR="00E14CD3" w14:paraId="6CA28BBC" w14:textId="77777777" w:rsidTr="00E14CD3">
        <w:tc>
          <w:tcPr>
            <w:tcW w:w="9016" w:type="dxa"/>
            <w:gridSpan w:val="2"/>
          </w:tcPr>
          <w:p w14:paraId="57292BA5" w14:textId="77777777" w:rsidR="00E14CD3" w:rsidRDefault="00E14CD3" w:rsidP="001C7161">
            <w:pPr>
              <w:rPr>
                <w:b/>
              </w:rPr>
            </w:pPr>
            <w:r>
              <w:rPr>
                <w:b/>
              </w:rPr>
              <w:t>Quarterly Monitoring updates</w:t>
            </w:r>
          </w:p>
          <w:p w14:paraId="617C39BF" w14:textId="77777777" w:rsidR="00E14CD3" w:rsidRDefault="00E14CD3" w:rsidP="00E14CD3">
            <w:pPr>
              <w:pStyle w:val="ListParagraph"/>
              <w:numPr>
                <w:ilvl w:val="0"/>
                <w:numId w:val="2"/>
              </w:numPr>
              <w:rPr>
                <w:b/>
              </w:rPr>
            </w:pPr>
            <w:r>
              <w:rPr>
                <w:b/>
              </w:rPr>
              <w:t>Provide quarterly progress updates against milestone delivery to align with the quarterly budget monitoring reports to executive.  Where milestones have not been met please provide an explanation, revised milestone dates, and how delivery can be brought back on track</w:t>
            </w:r>
          </w:p>
          <w:p w14:paraId="75C0484C" w14:textId="77777777" w:rsidR="00E14CD3" w:rsidRPr="00E14CD3" w:rsidRDefault="00E14CD3" w:rsidP="00E14CD3">
            <w:pPr>
              <w:pStyle w:val="ListParagraph"/>
              <w:numPr>
                <w:ilvl w:val="0"/>
                <w:numId w:val="2"/>
              </w:numPr>
              <w:rPr>
                <w:b/>
              </w:rPr>
            </w:pPr>
            <w:r>
              <w:rPr>
                <w:b/>
              </w:rPr>
              <w:t>If the recovery plan cannot be delivered, THERE IS NO NEW MONEY AVAILABLE so please provide an alternative proposal as to how budgets can be realigned so that it can be considered by DMT</w:t>
            </w:r>
          </w:p>
        </w:tc>
      </w:tr>
      <w:tr w:rsidR="00E14CD3" w14:paraId="149C391D" w14:textId="77777777" w:rsidTr="00E14CD3">
        <w:tc>
          <w:tcPr>
            <w:tcW w:w="9016" w:type="dxa"/>
            <w:gridSpan w:val="2"/>
            <w:shd w:val="pct30" w:color="auto" w:fill="auto"/>
          </w:tcPr>
          <w:p w14:paraId="32D79C84" w14:textId="77777777" w:rsidR="00E14CD3" w:rsidRPr="00E14CD3" w:rsidRDefault="00E14CD3" w:rsidP="001C7161">
            <w:pPr>
              <w:rPr>
                <w:b/>
              </w:rPr>
            </w:pPr>
            <w:r>
              <w:rPr>
                <w:b/>
              </w:rPr>
              <w:t>QUARTER 1 (to 30/06/23)</w:t>
            </w:r>
          </w:p>
        </w:tc>
      </w:tr>
      <w:tr w:rsidR="00236442" w14:paraId="6E0BE099" w14:textId="77777777" w:rsidTr="00236442">
        <w:tc>
          <w:tcPr>
            <w:tcW w:w="7366" w:type="dxa"/>
          </w:tcPr>
          <w:p w14:paraId="4847DA1D" w14:textId="77777777" w:rsidR="00236442" w:rsidRDefault="00236442" w:rsidP="00236442">
            <w:r>
              <w:t xml:space="preserve">On Target ? (Yes = </w:t>
            </w:r>
            <w:r w:rsidRPr="001D02D1">
              <w:rPr>
                <w:highlight w:val="green"/>
              </w:rPr>
              <w:t>GREEN</w:t>
            </w:r>
            <w:r>
              <w:t>; Partial (e.g. milestones slipped) = AMBER, No = RED)</w:t>
            </w:r>
          </w:p>
        </w:tc>
        <w:tc>
          <w:tcPr>
            <w:tcW w:w="1650" w:type="dxa"/>
          </w:tcPr>
          <w:p w14:paraId="07875671" w14:textId="77777777" w:rsidR="00236442" w:rsidRDefault="00236442" w:rsidP="001C7161"/>
        </w:tc>
      </w:tr>
      <w:tr w:rsidR="00236442" w14:paraId="17EAEBD7" w14:textId="77777777" w:rsidTr="00E14CD3">
        <w:tc>
          <w:tcPr>
            <w:tcW w:w="9016" w:type="dxa"/>
            <w:gridSpan w:val="2"/>
          </w:tcPr>
          <w:p w14:paraId="58B44C96" w14:textId="77777777" w:rsidR="00236442" w:rsidRDefault="00236442" w:rsidP="001C7161">
            <w:r>
              <w:t>Provide narrative below</w:t>
            </w:r>
          </w:p>
        </w:tc>
      </w:tr>
      <w:tr w:rsidR="00236442" w14:paraId="25B28919" w14:textId="77777777" w:rsidTr="00E14CD3">
        <w:tc>
          <w:tcPr>
            <w:tcW w:w="9016" w:type="dxa"/>
            <w:gridSpan w:val="2"/>
          </w:tcPr>
          <w:p w14:paraId="2A664650" w14:textId="77777777" w:rsidR="00236442" w:rsidRDefault="001D02D1" w:rsidP="001C7161">
            <w:r>
              <w:t>Trying not to rely on agency to help balance the books until permanent recruitment takes place</w:t>
            </w:r>
            <w:r w:rsidR="00746EE2">
              <w:t>.  Can potentially afford up to 12 weeks at £500 per day if M5 and M1 posts are recruited to from October</w:t>
            </w:r>
          </w:p>
          <w:p w14:paraId="30A42F2C" w14:textId="77777777" w:rsidR="00236442" w:rsidRDefault="00236442" w:rsidP="001C7161"/>
        </w:tc>
      </w:tr>
      <w:tr w:rsidR="00E14CD3" w14:paraId="01293150" w14:textId="77777777" w:rsidTr="00E14CD3">
        <w:tc>
          <w:tcPr>
            <w:tcW w:w="9016" w:type="dxa"/>
            <w:gridSpan w:val="2"/>
            <w:shd w:val="pct30" w:color="auto" w:fill="auto"/>
          </w:tcPr>
          <w:p w14:paraId="4D423CF4" w14:textId="77777777" w:rsidR="00E14CD3" w:rsidRPr="00E14CD3" w:rsidRDefault="00E14CD3" w:rsidP="001C7161">
            <w:pPr>
              <w:rPr>
                <w:b/>
              </w:rPr>
            </w:pPr>
            <w:r>
              <w:rPr>
                <w:b/>
              </w:rPr>
              <w:t>QUARTER 2 (to 30/09/23)</w:t>
            </w:r>
          </w:p>
        </w:tc>
      </w:tr>
      <w:tr w:rsidR="00236442" w14:paraId="565AD183" w14:textId="77777777" w:rsidTr="00236442">
        <w:tc>
          <w:tcPr>
            <w:tcW w:w="7366" w:type="dxa"/>
          </w:tcPr>
          <w:p w14:paraId="24558748" w14:textId="77777777" w:rsidR="00236442" w:rsidRDefault="00236442" w:rsidP="00236442">
            <w:r>
              <w:t>On Target ? (Yes = GREEN; Partial (e.g. milestones slipped) = AMBER, No = RED)</w:t>
            </w:r>
          </w:p>
        </w:tc>
        <w:tc>
          <w:tcPr>
            <w:tcW w:w="1650" w:type="dxa"/>
          </w:tcPr>
          <w:p w14:paraId="003397FF" w14:textId="77777777" w:rsidR="00236442" w:rsidRDefault="00236442" w:rsidP="00236442"/>
        </w:tc>
      </w:tr>
      <w:tr w:rsidR="00236442" w14:paraId="12C83CE6" w14:textId="77777777" w:rsidTr="00E14CD3">
        <w:tc>
          <w:tcPr>
            <w:tcW w:w="9016" w:type="dxa"/>
            <w:gridSpan w:val="2"/>
          </w:tcPr>
          <w:p w14:paraId="752475CD" w14:textId="77777777" w:rsidR="00236442" w:rsidRDefault="00236442" w:rsidP="00236442">
            <w:r>
              <w:t>Provide narrative below</w:t>
            </w:r>
          </w:p>
        </w:tc>
      </w:tr>
      <w:tr w:rsidR="00236442" w14:paraId="311AD07B" w14:textId="77777777" w:rsidTr="00E14CD3">
        <w:tc>
          <w:tcPr>
            <w:tcW w:w="9016" w:type="dxa"/>
            <w:gridSpan w:val="2"/>
          </w:tcPr>
          <w:p w14:paraId="26D50E1C" w14:textId="77777777" w:rsidR="00236442" w:rsidRDefault="00236442" w:rsidP="00236442"/>
          <w:p w14:paraId="568B17BF" w14:textId="77777777" w:rsidR="00236442" w:rsidRDefault="00236442" w:rsidP="00236442"/>
        </w:tc>
      </w:tr>
      <w:tr w:rsidR="00236442" w14:paraId="221951E2" w14:textId="77777777" w:rsidTr="00E14CD3">
        <w:tc>
          <w:tcPr>
            <w:tcW w:w="9016" w:type="dxa"/>
            <w:gridSpan w:val="2"/>
            <w:shd w:val="pct30" w:color="auto" w:fill="auto"/>
          </w:tcPr>
          <w:p w14:paraId="6CBCCD35" w14:textId="77777777" w:rsidR="00236442" w:rsidRPr="00E14CD3" w:rsidRDefault="00236442" w:rsidP="00236442">
            <w:pPr>
              <w:rPr>
                <w:b/>
              </w:rPr>
            </w:pPr>
            <w:r>
              <w:rPr>
                <w:b/>
              </w:rPr>
              <w:t>QUARTER 3 (to 31/12/23)</w:t>
            </w:r>
          </w:p>
        </w:tc>
      </w:tr>
      <w:tr w:rsidR="00236442" w14:paraId="4AC65F45" w14:textId="77777777" w:rsidTr="00236442">
        <w:tc>
          <w:tcPr>
            <w:tcW w:w="7366" w:type="dxa"/>
          </w:tcPr>
          <w:p w14:paraId="406706AB" w14:textId="77777777" w:rsidR="00236442" w:rsidRDefault="00236442" w:rsidP="00236442">
            <w:r>
              <w:t>On Target ? (Yes = GREEN; Partial (e.g. milestones slipped) = AMBER, No = RED)</w:t>
            </w:r>
          </w:p>
        </w:tc>
        <w:tc>
          <w:tcPr>
            <w:tcW w:w="1650" w:type="dxa"/>
          </w:tcPr>
          <w:p w14:paraId="4B77B778" w14:textId="77777777" w:rsidR="00236442" w:rsidRDefault="00236442" w:rsidP="00236442"/>
        </w:tc>
      </w:tr>
      <w:tr w:rsidR="00236442" w14:paraId="6D328D60" w14:textId="77777777" w:rsidTr="00E14CD3">
        <w:tc>
          <w:tcPr>
            <w:tcW w:w="9016" w:type="dxa"/>
            <w:gridSpan w:val="2"/>
          </w:tcPr>
          <w:p w14:paraId="3741AA64" w14:textId="77777777" w:rsidR="00236442" w:rsidRDefault="00236442" w:rsidP="00236442">
            <w:r>
              <w:t>Provide narrative below</w:t>
            </w:r>
          </w:p>
        </w:tc>
      </w:tr>
      <w:tr w:rsidR="00236442" w14:paraId="66CF8572" w14:textId="77777777" w:rsidTr="00E14CD3">
        <w:tc>
          <w:tcPr>
            <w:tcW w:w="9016" w:type="dxa"/>
            <w:gridSpan w:val="2"/>
          </w:tcPr>
          <w:p w14:paraId="445F3588" w14:textId="154C7DD8" w:rsidR="00A54D0B" w:rsidRDefault="006D3B2A" w:rsidP="00A54D0B">
            <w:r>
              <w:t>2 agency staff still employed, but interviews for permanent roles are taking place on 14</w:t>
            </w:r>
            <w:r w:rsidRPr="006D3B2A">
              <w:rPr>
                <w:vertAlign w:val="superscript"/>
              </w:rPr>
              <w:t>th</w:t>
            </w:r>
            <w:r>
              <w:t xml:space="preserve"> and 15</w:t>
            </w:r>
            <w:r w:rsidRPr="006D3B2A">
              <w:rPr>
                <w:vertAlign w:val="superscript"/>
              </w:rPr>
              <w:t>th</w:t>
            </w:r>
            <w:r>
              <w:t xml:space="preserve"> March.  Agency contracts currently run until end of April and end of June 2024 to support year end process and provide resource until permanent appointment has been made. </w:t>
            </w:r>
          </w:p>
          <w:p w14:paraId="13956EFC" w14:textId="77777777" w:rsidR="00236442" w:rsidRDefault="00236442" w:rsidP="00236442"/>
        </w:tc>
      </w:tr>
      <w:tr w:rsidR="00236442" w14:paraId="15536CF2" w14:textId="77777777" w:rsidTr="00E14CD3">
        <w:tc>
          <w:tcPr>
            <w:tcW w:w="9016" w:type="dxa"/>
            <w:gridSpan w:val="2"/>
            <w:shd w:val="pct30" w:color="auto" w:fill="auto"/>
          </w:tcPr>
          <w:p w14:paraId="423F66B1" w14:textId="77777777" w:rsidR="00236442" w:rsidRPr="00E14CD3" w:rsidRDefault="00236442" w:rsidP="00A54D0B">
            <w:pPr>
              <w:rPr>
                <w:b/>
              </w:rPr>
            </w:pPr>
            <w:r>
              <w:rPr>
                <w:b/>
              </w:rPr>
              <w:t>QUARTER 4 (to 31/03/2</w:t>
            </w:r>
            <w:r w:rsidR="00A54D0B">
              <w:rPr>
                <w:b/>
              </w:rPr>
              <w:t>4</w:t>
            </w:r>
            <w:r>
              <w:rPr>
                <w:b/>
              </w:rPr>
              <w:t>)</w:t>
            </w:r>
          </w:p>
        </w:tc>
      </w:tr>
      <w:tr w:rsidR="00236442" w14:paraId="31C17F0F" w14:textId="77777777" w:rsidTr="00236442">
        <w:tc>
          <w:tcPr>
            <w:tcW w:w="7366" w:type="dxa"/>
          </w:tcPr>
          <w:p w14:paraId="3C872ED2" w14:textId="77777777" w:rsidR="00236442" w:rsidRDefault="00236442" w:rsidP="00236442">
            <w:r>
              <w:t xml:space="preserve">On Target ? (Yes = </w:t>
            </w:r>
            <w:r w:rsidRPr="00B57F6E">
              <w:rPr>
                <w:highlight w:val="green"/>
              </w:rPr>
              <w:t>GREEN</w:t>
            </w:r>
            <w:r>
              <w:t>; Partial (e.g. milestones slipped) = AMBER, No = RED)</w:t>
            </w:r>
          </w:p>
        </w:tc>
        <w:tc>
          <w:tcPr>
            <w:tcW w:w="1650" w:type="dxa"/>
          </w:tcPr>
          <w:p w14:paraId="291BFCE4" w14:textId="77777777" w:rsidR="00236442" w:rsidRDefault="00236442" w:rsidP="00236442"/>
        </w:tc>
      </w:tr>
      <w:tr w:rsidR="00236442" w14:paraId="5A8F2DD4" w14:textId="77777777" w:rsidTr="00E14CD3">
        <w:tc>
          <w:tcPr>
            <w:tcW w:w="9016" w:type="dxa"/>
            <w:gridSpan w:val="2"/>
          </w:tcPr>
          <w:p w14:paraId="6734402F" w14:textId="77777777" w:rsidR="00236442" w:rsidRDefault="00236442" w:rsidP="00236442">
            <w:r>
              <w:t>Provide narrative below</w:t>
            </w:r>
          </w:p>
        </w:tc>
      </w:tr>
      <w:tr w:rsidR="00236442" w14:paraId="7DCA8396" w14:textId="77777777" w:rsidTr="00E14CD3">
        <w:tc>
          <w:tcPr>
            <w:tcW w:w="9016" w:type="dxa"/>
            <w:gridSpan w:val="2"/>
          </w:tcPr>
          <w:p w14:paraId="41DE074A" w14:textId="77777777" w:rsidR="00236442" w:rsidRDefault="00236442" w:rsidP="00A54D0B"/>
        </w:tc>
      </w:tr>
    </w:tbl>
    <w:p w14:paraId="5D270C4C" w14:textId="77777777" w:rsidR="001C7161" w:rsidRDefault="001C7161" w:rsidP="001C7161"/>
    <w:p w14:paraId="3E0FB4B9" w14:textId="77777777" w:rsidR="001C7161" w:rsidRDefault="001C7161" w:rsidP="001C7161"/>
    <w:p w14:paraId="7B94F35F" w14:textId="77777777" w:rsidR="001C7161" w:rsidRDefault="001C7161" w:rsidP="001C7161"/>
    <w:p w14:paraId="1C497F5F" w14:textId="77777777" w:rsidR="001C7161" w:rsidRDefault="001C7161" w:rsidP="001C7161"/>
    <w:sectPr w:rsidR="001C7161" w:rsidSect="0020232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B4F10" w14:textId="77777777" w:rsidR="004010E4" w:rsidRDefault="004010E4" w:rsidP="00C8075A">
      <w:pPr>
        <w:spacing w:after="0" w:line="240" w:lineRule="auto"/>
      </w:pPr>
      <w:r>
        <w:separator/>
      </w:r>
    </w:p>
  </w:endnote>
  <w:endnote w:type="continuationSeparator" w:id="0">
    <w:p w14:paraId="790B9F29" w14:textId="77777777" w:rsidR="004010E4" w:rsidRDefault="004010E4" w:rsidP="00C80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2F4C5" w14:textId="77777777" w:rsidR="004010E4" w:rsidRDefault="004010E4" w:rsidP="00C8075A">
      <w:pPr>
        <w:spacing w:after="0" w:line="240" w:lineRule="auto"/>
      </w:pPr>
      <w:r>
        <w:separator/>
      </w:r>
    </w:p>
  </w:footnote>
  <w:footnote w:type="continuationSeparator" w:id="0">
    <w:p w14:paraId="4992FCE7" w14:textId="77777777" w:rsidR="004010E4" w:rsidRDefault="004010E4" w:rsidP="00C80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67D6" w14:textId="77777777" w:rsidR="00C8075A" w:rsidRPr="00C8075A" w:rsidRDefault="00010C67" w:rsidP="00C8075A">
    <w:pPr>
      <w:pStyle w:val="Header"/>
      <w:jc w:val="center"/>
      <w:rPr>
        <w:b/>
        <w:sz w:val="24"/>
        <w:szCs w:val="24"/>
      </w:rPr>
    </w:pPr>
    <w:r>
      <w:rPr>
        <w:b/>
        <w:sz w:val="24"/>
        <w:szCs w:val="24"/>
      </w:rPr>
      <w:t>Deficit Recovery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25172"/>
    <w:multiLevelType w:val="hybridMultilevel"/>
    <w:tmpl w:val="6D76B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87723C"/>
    <w:multiLevelType w:val="hybridMultilevel"/>
    <w:tmpl w:val="6450A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D71100"/>
    <w:multiLevelType w:val="hybridMultilevel"/>
    <w:tmpl w:val="BB48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601EB6"/>
    <w:multiLevelType w:val="hybridMultilevel"/>
    <w:tmpl w:val="78BC6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064332">
    <w:abstractNumId w:val="0"/>
  </w:num>
  <w:num w:numId="2" w16cid:durableId="108136105">
    <w:abstractNumId w:val="3"/>
  </w:num>
  <w:num w:numId="3" w16cid:durableId="435752062">
    <w:abstractNumId w:val="2"/>
  </w:num>
  <w:num w:numId="4" w16cid:durableId="860238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FD0"/>
    <w:rsid w:val="00010C67"/>
    <w:rsid w:val="00034F26"/>
    <w:rsid w:val="00043D3A"/>
    <w:rsid w:val="000D140F"/>
    <w:rsid w:val="00103F30"/>
    <w:rsid w:val="00111D84"/>
    <w:rsid w:val="001127DB"/>
    <w:rsid w:val="0012558D"/>
    <w:rsid w:val="00151F88"/>
    <w:rsid w:val="00152A29"/>
    <w:rsid w:val="001A3F78"/>
    <w:rsid w:val="001C7161"/>
    <w:rsid w:val="001D02D1"/>
    <w:rsid w:val="001D3448"/>
    <w:rsid w:val="00202326"/>
    <w:rsid w:val="00204C48"/>
    <w:rsid w:val="0022030B"/>
    <w:rsid w:val="0022135F"/>
    <w:rsid w:val="002313AA"/>
    <w:rsid w:val="00236442"/>
    <w:rsid w:val="0025369A"/>
    <w:rsid w:val="00273B5D"/>
    <w:rsid w:val="00284AB8"/>
    <w:rsid w:val="002941D5"/>
    <w:rsid w:val="002D3357"/>
    <w:rsid w:val="002D398A"/>
    <w:rsid w:val="00307081"/>
    <w:rsid w:val="00362449"/>
    <w:rsid w:val="00375C1E"/>
    <w:rsid w:val="0037773E"/>
    <w:rsid w:val="00377DD4"/>
    <w:rsid w:val="00392697"/>
    <w:rsid w:val="00397172"/>
    <w:rsid w:val="003A37F8"/>
    <w:rsid w:val="003F0D05"/>
    <w:rsid w:val="004010E4"/>
    <w:rsid w:val="00415083"/>
    <w:rsid w:val="004563F3"/>
    <w:rsid w:val="00461F70"/>
    <w:rsid w:val="00486605"/>
    <w:rsid w:val="00493F88"/>
    <w:rsid w:val="004B4D8E"/>
    <w:rsid w:val="004C36B2"/>
    <w:rsid w:val="004E4824"/>
    <w:rsid w:val="00502FC3"/>
    <w:rsid w:val="0051768E"/>
    <w:rsid w:val="00527FC7"/>
    <w:rsid w:val="00532AB5"/>
    <w:rsid w:val="00567F40"/>
    <w:rsid w:val="0057662D"/>
    <w:rsid w:val="00582951"/>
    <w:rsid w:val="00590324"/>
    <w:rsid w:val="005C1CFC"/>
    <w:rsid w:val="005D4129"/>
    <w:rsid w:val="005D70F2"/>
    <w:rsid w:val="005E3414"/>
    <w:rsid w:val="00600B96"/>
    <w:rsid w:val="0063084C"/>
    <w:rsid w:val="006B0320"/>
    <w:rsid w:val="006B4021"/>
    <w:rsid w:val="006D3B2A"/>
    <w:rsid w:val="006F0783"/>
    <w:rsid w:val="006F1CDE"/>
    <w:rsid w:val="00703254"/>
    <w:rsid w:val="0070759F"/>
    <w:rsid w:val="00711B3F"/>
    <w:rsid w:val="00713728"/>
    <w:rsid w:val="00714D2B"/>
    <w:rsid w:val="00723805"/>
    <w:rsid w:val="00731447"/>
    <w:rsid w:val="00733F0F"/>
    <w:rsid w:val="00746EE2"/>
    <w:rsid w:val="00756853"/>
    <w:rsid w:val="007737AC"/>
    <w:rsid w:val="00782B52"/>
    <w:rsid w:val="0079117D"/>
    <w:rsid w:val="00791249"/>
    <w:rsid w:val="007A17E7"/>
    <w:rsid w:val="007C6772"/>
    <w:rsid w:val="007D7D31"/>
    <w:rsid w:val="00813604"/>
    <w:rsid w:val="00815911"/>
    <w:rsid w:val="00836752"/>
    <w:rsid w:val="008B7939"/>
    <w:rsid w:val="008E4FEF"/>
    <w:rsid w:val="0091177F"/>
    <w:rsid w:val="009142D5"/>
    <w:rsid w:val="00922EB5"/>
    <w:rsid w:val="00927DAB"/>
    <w:rsid w:val="00934A9D"/>
    <w:rsid w:val="00961F80"/>
    <w:rsid w:val="00976486"/>
    <w:rsid w:val="00977111"/>
    <w:rsid w:val="00986A8B"/>
    <w:rsid w:val="0099422E"/>
    <w:rsid w:val="009A014D"/>
    <w:rsid w:val="009B234A"/>
    <w:rsid w:val="009B2479"/>
    <w:rsid w:val="009B64B4"/>
    <w:rsid w:val="009C3BBE"/>
    <w:rsid w:val="009C4A49"/>
    <w:rsid w:val="009C6FD0"/>
    <w:rsid w:val="009E2F53"/>
    <w:rsid w:val="009F3C23"/>
    <w:rsid w:val="00A2383B"/>
    <w:rsid w:val="00A36498"/>
    <w:rsid w:val="00A54D0B"/>
    <w:rsid w:val="00A75B63"/>
    <w:rsid w:val="00AB78A4"/>
    <w:rsid w:val="00AD0FCC"/>
    <w:rsid w:val="00AD7C25"/>
    <w:rsid w:val="00AE05F2"/>
    <w:rsid w:val="00B042E5"/>
    <w:rsid w:val="00B15DFD"/>
    <w:rsid w:val="00B32C39"/>
    <w:rsid w:val="00B43AB3"/>
    <w:rsid w:val="00B53835"/>
    <w:rsid w:val="00B57F6E"/>
    <w:rsid w:val="00B6586A"/>
    <w:rsid w:val="00B80635"/>
    <w:rsid w:val="00B931CB"/>
    <w:rsid w:val="00BA1B84"/>
    <w:rsid w:val="00C16F10"/>
    <w:rsid w:val="00C33AB5"/>
    <w:rsid w:val="00C4344B"/>
    <w:rsid w:val="00C5744E"/>
    <w:rsid w:val="00C70A3A"/>
    <w:rsid w:val="00C8075A"/>
    <w:rsid w:val="00C84C91"/>
    <w:rsid w:val="00CE7167"/>
    <w:rsid w:val="00CF02F5"/>
    <w:rsid w:val="00D121BF"/>
    <w:rsid w:val="00D1222F"/>
    <w:rsid w:val="00D172E0"/>
    <w:rsid w:val="00D17CF3"/>
    <w:rsid w:val="00D73376"/>
    <w:rsid w:val="00D87366"/>
    <w:rsid w:val="00D906FC"/>
    <w:rsid w:val="00DC04C5"/>
    <w:rsid w:val="00DD6CF9"/>
    <w:rsid w:val="00DE56EC"/>
    <w:rsid w:val="00E14CD3"/>
    <w:rsid w:val="00EA225F"/>
    <w:rsid w:val="00EA68FC"/>
    <w:rsid w:val="00EC7EBD"/>
    <w:rsid w:val="00F13242"/>
    <w:rsid w:val="00F30F79"/>
    <w:rsid w:val="00F36050"/>
    <w:rsid w:val="00F72346"/>
    <w:rsid w:val="00F73FD0"/>
    <w:rsid w:val="00F77F69"/>
    <w:rsid w:val="00F8726D"/>
    <w:rsid w:val="00FC5999"/>
    <w:rsid w:val="00FD4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1963E"/>
  <w15:docId w15:val="{2E3BA0AC-F3B6-4780-A7CF-50A34832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AB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7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07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75A"/>
    <w:rPr>
      <w:rFonts w:ascii="Calibri" w:eastAsia="Calibri" w:hAnsi="Calibri" w:cs="Times New Roman"/>
    </w:rPr>
  </w:style>
  <w:style w:type="paragraph" w:styleId="Footer">
    <w:name w:val="footer"/>
    <w:basedOn w:val="Normal"/>
    <w:link w:val="FooterChar"/>
    <w:uiPriority w:val="99"/>
    <w:unhideWhenUsed/>
    <w:rsid w:val="00C807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75A"/>
    <w:rPr>
      <w:rFonts w:ascii="Calibri" w:eastAsia="Calibri" w:hAnsi="Calibri" w:cs="Times New Roman"/>
    </w:rPr>
  </w:style>
  <w:style w:type="character" w:styleId="CommentReference">
    <w:name w:val="annotation reference"/>
    <w:basedOn w:val="DefaultParagraphFont"/>
    <w:uiPriority w:val="99"/>
    <w:semiHidden/>
    <w:unhideWhenUsed/>
    <w:rsid w:val="00D17CF3"/>
    <w:rPr>
      <w:sz w:val="16"/>
      <w:szCs w:val="16"/>
    </w:rPr>
  </w:style>
  <w:style w:type="paragraph" w:styleId="CommentText">
    <w:name w:val="annotation text"/>
    <w:basedOn w:val="Normal"/>
    <w:link w:val="CommentTextChar"/>
    <w:uiPriority w:val="99"/>
    <w:semiHidden/>
    <w:unhideWhenUsed/>
    <w:rsid w:val="00D17CF3"/>
    <w:pPr>
      <w:spacing w:line="240" w:lineRule="auto"/>
    </w:pPr>
    <w:rPr>
      <w:sz w:val="20"/>
      <w:szCs w:val="20"/>
    </w:rPr>
  </w:style>
  <w:style w:type="character" w:customStyle="1" w:styleId="CommentTextChar">
    <w:name w:val="Comment Text Char"/>
    <w:basedOn w:val="DefaultParagraphFont"/>
    <w:link w:val="CommentText"/>
    <w:uiPriority w:val="99"/>
    <w:semiHidden/>
    <w:rsid w:val="00D17CF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17CF3"/>
    <w:rPr>
      <w:b/>
      <w:bCs/>
    </w:rPr>
  </w:style>
  <w:style w:type="character" w:customStyle="1" w:styleId="CommentSubjectChar">
    <w:name w:val="Comment Subject Char"/>
    <w:basedOn w:val="CommentTextChar"/>
    <w:link w:val="CommentSubject"/>
    <w:uiPriority w:val="99"/>
    <w:semiHidden/>
    <w:rsid w:val="00D17CF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17C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CF3"/>
    <w:rPr>
      <w:rFonts w:ascii="Segoe UI" w:eastAsia="Calibri" w:hAnsi="Segoe UI" w:cs="Segoe UI"/>
      <w:sz w:val="18"/>
      <w:szCs w:val="18"/>
    </w:rPr>
  </w:style>
  <w:style w:type="paragraph" w:styleId="ListParagraph">
    <w:name w:val="List Paragraph"/>
    <w:basedOn w:val="Normal"/>
    <w:uiPriority w:val="34"/>
    <w:qFormat/>
    <w:rsid w:val="00010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1423">
      <w:bodyDiv w:val="1"/>
      <w:marLeft w:val="0"/>
      <w:marRight w:val="0"/>
      <w:marTop w:val="0"/>
      <w:marBottom w:val="0"/>
      <w:divBdr>
        <w:top w:val="none" w:sz="0" w:space="0" w:color="auto"/>
        <w:left w:val="none" w:sz="0" w:space="0" w:color="auto"/>
        <w:bottom w:val="none" w:sz="0" w:space="0" w:color="auto"/>
        <w:right w:val="none" w:sz="0" w:space="0" w:color="auto"/>
      </w:divBdr>
    </w:div>
    <w:div w:id="226887687">
      <w:bodyDiv w:val="1"/>
      <w:marLeft w:val="0"/>
      <w:marRight w:val="0"/>
      <w:marTop w:val="0"/>
      <w:marBottom w:val="0"/>
      <w:divBdr>
        <w:top w:val="none" w:sz="0" w:space="0" w:color="auto"/>
        <w:left w:val="none" w:sz="0" w:space="0" w:color="auto"/>
        <w:bottom w:val="none" w:sz="0" w:space="0" w:color="auto"/>
        <w:right w:val="none" w:sz="0" w:space="0" w:color="auto"/>
      </w:divBdr>
    </w:div>
    <w:div w:id="646326131">
      <w:bodyDiv w:val="1"/>
      <w:marLeft w:val="0"/>
      <w:marRight w:val="0"/>
      <w:marTop w:val="0"/>
      <w:marBottom w:val="0"/>
      <w:divBdr>
        <w:top w:val="none" w:sz="0" w:space="0" w:color="auto"/>
        <w:left w:val="none" w:sz="0" w:space="0" w:color="auto"/>
        <w:bottom w:val="none" w:sz="0" w:space="0" w:color="auto"/>
        <w:right w:val="none" w:sz="0" w:space="0" w:color="auto"/>
      </w:divBdr>
    </w:div>
    <w:div w:id="677511649">
      <w:bodyDiv w:val="1"/>
      <w:marLeft w:val="0"/>
      <w:marRight w:val="0"/>
      <w:marTop w:val="0"/>
      <w:marBottom w:val="0"/>
      <w:divBdr>
        <w:top w:val="none" w:sz="0" w:space="0" w:color="auto"/>
        <w:left w:val="none" w:sz="0" w:space="0" w:color="auto"/>
        <w:bottom w:val="none" w:sz="0" w:space="0" w:color="auto"/>
        <w:right w:val="none" w:sz="0" w:space="0" w:color="auto"/>
      </w:divBdr>
    </w:div>
    <w:div w:id="748356239">
      <w:bodyDiv w:val="1"/>
      <w:marLeft w:val="0"/>
      <w:marRight w:val="0"/>
      <w:marTop w:val="0"/>
      <w:marBottom w:val="0"/>
      <w:divBdr>
        <w:top w:val="none" w:sz="0" w:space="0" w:color="auto"/>
        <w:left w:val="none" w:sz="0" w:space="0" w:color="auto"/>
        <w:bottom w:val="none" w:sz="0" w:space="0" w:color="auto"/>
        <w:right w:val="none" w:sz="0" w:space="0" w:color="auto"/>
      </w:divBdr>
    </w:div>
    <w:div w:id="1165171875">
      <w:bodyDiv w:val="1"/>
      <w:marLeft w:val="0"/>
      <w:marRight w:val="0"/>
      <w:marTop w:val="0"/>
      <w:marBottom w:val="0"/>
      <w:divBdr>
        <w:top w:val="none" w:sz="0" w:space="0" w:color="auto"/>
        <w:left w:val="none" w:sz="0" w:space="0" w:color="auto"/>
        <w:bottom w:val="none" w:sz="0" w:space="0" w:color="auto"/>
        <w:right w:val="none" w:sz="0" w:space="0" w:color="auto"/>
      </w:divBdr>
    </w:div>
    <w:div w:id="1235240269">
      <w:bodyDiv w:val="1"/>
      <w:marLeft w:val="0"/>
      <w:marRight w:val="0"/>
      <w:marTop w:val="0"/>
      <w:marBottom w:val="0"/>
      <w:divBdr>
        <w:top w:val="none" w:sz="0" w:space="0" w:color="auto"/>
        <w:left w:val="none" w:sz="0" w:space="0" w:color="auto"/>
        <w:bottom w:val="none" w:sz="0" w:space="0" w:color="auto"/>
        <w:right w:val="none" w:sz="0" w:space="0" w:color="auto"/>
      </w:divBdr>
    </w:div>
    <w:div w:id="1243099672">
      <w:bodyDiv w:val="1"/>
      <w:marLeft w:val="0"/>
      <w:marRight w:val="0"/>
      <w:marTop w:val="0"/>
      <w:marBottom w:val="0"/>
      <w:divBdr>
        <w:top w:val="none" w:sz="0" w:space="0" w:color="auto"/>
        <w:left w:val="none" w:sz="0" w:space="0" w:color="auto"/>
        <w:bottom w:val="none" w:sz="0" w:space="0" w:color="auto"/>
        <w:right w:val="none" w:sz="0" w:space="0" w:color="auto"/>
      </w:divBdr>
    </w:div>
    <w:div w:id="1338001946">
      <w:bodyDiv w:val="1"/>
      <w:marLeft w:val="0"/>
      <w:marRight w:val="0"/>
      <w:marTop w:val="0"/>
      <w:marBottom w:val="0"/>
      <w:divBdr>
        <w:top w:val="none" w:sz="0" w:space="0" w:color="auto"/>
        <w:left w:val="none" w:sz="0" w:space="0" w:color="auto"/>
        <w:bottom w:val="none" w:sz="0" w:space="0" w:color="auto"/>
        <w:right w:val="none" w:sz="0" w:space="0" w:color="auto"/>
      </w:divBdr>
    </w:div>
    <w:div w:id="1457800188">
      <w:bodyDiv w:val="1"/>
      <w:marLeft w:val="0"/>
      <w:marRight w:val="0"/>
      <w:marTop w:val="0"/>
      <w:marBottom w:val="0"/>
      <w:divBdr>
        <w:top w:val="none" w:sz="0" w:space="0" w:color="auto"/>
        <w:left w:val="none" w:sz="0" w:space="0" w:color="auto"/>
        <w:bottom w:val="none" w:sz="0" w:space="0" w:color="auto"/>
        <w:right w:val="none" w:sz="0" w:space="0" w:color="auto"/>
      </w:divBdr>
    </w:div>
    <w:div w:id="1551258189">
      <w:bodyDiv w:val="1"/>
      <w:marLeft w:val="0"/>
      <w:marRight w:val="0"/>
      <w:marTop w:val="0"/>
      <w:marBottom w:val="0"/>
      <w:divBdr>
        <w:top w:val="none" w:sz="0" w:space="0" w:color="auto"/>
        <w:left w:val="none" w:sz="0" w:space="0" w:color="auto"/>
        <w:bottom w:val="none" w:sz="0" w:space="0" w:color="auto"/>
        <w:right w:val="none" w:sz="0" w:space="0" w:color="auto"/>
      </w:divBdr>
    </w:div>
    <w:div w:id="1646272357">
      <w:bodyDiv w:val="1"/>
      <w:marLeft w:val="0"/>
      <w:marRight w:val="0"/>
      <w:marTop w:val="0"/>
      <w:marBottom w:val="0"/>
      <w:divBdr>
        <w:top w:val="none" w:sz="0" w:space="0" w:color="auto"/>
        <w:left w:val="none" w:sz="0" w:space="0" w:color="auto"/>
        <w:bottom w:val="none" w:sz="0" w:space="0" w:color="auto"/>
        <w:right w:val="none" w:sz="0" w:space="0" w:color="auto"/>
      </w:divBdr>
    </w:div>
    <w:div w:id="1704286498">
      <w:bodyDiv w:val="1"/>
      <w:marLeft w:val="0"/>
      <w:marRight w:val="0"/>
      <w:marTop w:val="0"/>
      <w:marBottom w:val="0"/>
      <w:divBdr>
        <w:top w:val="none" w:sz="0" w:space="0" w:color="auto"/>
        <w:left w:val="none" w:sz="0" w:space="0" w:color="auto"/>
        <w:bottom w:val="none" w:sz="0" w:space="0" w:color="auto"/>
        <w:right w:val="none" w:sz="0" w:space="0" w:color="auto"/>
      </w:divBdr>
    </w:div>
    <w:div w:id="1750881401">
      <w:bodyDiv w:val="1"/>
      <w:marLeft w:val="0"/>
      <w:marRight w:val="0"/>
      <w:marTop w:val="0"/>
      <w:marBottom w:val="0"/>
      <w:divBdr>
        <w:top w:val="none" w:sz="0" w:space="0" w:color="auto"/>
        <w:left w:val="none" w:sz="0" w:space="0" w:color="auto"/>
        <w:bottom w:val="none" w:sz="0" w:space="0" w:color="auto"/>
        <w:right w:val="none" w:sz="0" w:space="0" w:color="auto"/>
      </w:divBdr>
    </w:div>
    <w:div w:id="1922064611">
      <w:bodyDiv w:val="1"/>
      <w:marLeft w:val="0"/>
      <w:marRight w:val="0"/>
      <w:marTop w:val="0"/>
      <w:marBottom w:val="0"/>
      <w:divBdr>
        <w:top w:val="none" w:sz="0" w:space="0" w:color="auto"/>
        <w:left w:val="none" w:sz="0" w:space="0" w:color="auto"/>
        <w:bottom w:val="none" w:sz="0" w:space="0" w:color="auto"/>
        <w:right w:val="none" w:sz="0" w:space="0" w:color="auto"/>
      </w:divBdr>
    </w:div>
    <w:div w:id="1995910794">
      <w:bodyDiv w:val="1"/>
      <w:marLeft w:val="0"/>
      <w:marRight w:val="0"/>
      <w:marTop w:val="0"/>
      <w:marBottom w:val="0"/>
      <w:divBdr>
        <w:top w:val="none" w:sz="0" w:space="0" w:color="auto"/>
        <w:left w:val="none" w:sz="0" w:space="0" w:color="auto"/>
        <w:bottom w:val="none" w:sz="0" w:space="0" w:color="auto"/>
        <w:right w:val="none" w:sz="0" w:space="0" w:color="auto"/>
      </w:divBdr>
    </w:div>
    <w:div w:id="205843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Luton Borough Council</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HattleS</dc:creator>
  <cp:lastModifiedBy>Lambert, Darren</cp:lastModifiedBy>
  <cp:revision>6</cp:revision>
  <dcterms:created xsi:type="dcterms:W3CDTF">2023-07-13T16:23:00Z</dcterms:created>
  <dcterms:modified xsi:type="dcterms:W3CDTF">2024-03-13T14:52:00Z</dcterms:modified>
</cp:coreProperties>
</file>