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A2497" w:rsidR="00451566" w:rsidP="00843326" w:rsidRDefault="00BF72E0" w14:paraId="6C2F11DB" w14:textId="36E0E8C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Business Case Lite</w:t>
      </w:r>
      <w:r w:rsidRPr="005A2497" w:rsidR="00434F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2497" w:rsidR="007C6A50">
        <w:rPr>
          <w:rFonts w:ascii="Arial" w:hAnsi="Arial" w:cs="Arial"/>
          <w:b/>
          <w:bCs/>
          <w:sz w:val="24"/>
          <w:szCs w:val="24"/>
        </w:rPr>
        <w:t>–</w:t>
      </w:r>
      <w:r w:rsidRPr="005A2497" w:rsidR="00434F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2497" w:rsidR="007C6A50">
        <w:rPr>
          <w:rFonts w:ascii="Arial" w:hAnsi="Arial" w:cs="Arial"/>
          <w:b/>
          <w:bCs/>
          <w:sz w:val="24"/>
          <w:szCs w:val="24"/>
        </w:rPr>
        <w:t>Luton Transformation Programme</w:t>
      </w:r>
    </w:p>
    <w:p w:rsidRPr="005A2497" w:rsidR="00843326" w:rsidP="00843326" w:rsidRDefault="00843326" w14:paraId="294429C8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EB0618" w:rsidR="00451566" w:rsidP="00EB0618" w:rsidRDefault="00451566" w14:paraId="23BE79F9" w14:textId="6988341D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EB0618">
        <w:rPr>
          <w:rFonts w:ascii="Arial" w:hAnsi="Arial" w:cs="Arial"/>
          <w:b/>
          <w:bCs/>
          <w:color w:val="FFFFFF" w:themeColor="background1"/>
          <w:sz w:val="20"/>
          <w:szCs w:val="20"/>
        </w:rPr>
        <w:t>Project Information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92"/>
        <w:gridCol w:w="6375"/>
      </w:tblGrid>
      <w:tr w:rsidRPr="005A2497" w:rsidR="00451566" w:rsidTr="3255F382" w14:paraId="224FDB06" w14:textId="77777777">
        <w:tc>
          <w:tcPr>
            <w:tcW w:w="2692" w:type="dxa"/>
            <w:shd w:val="clear" w:color="auto" w:fill="66B0AB"/>
          </w:tcPr>
          <w:p w:rsidRPr="005A2497" w:rsidR="00451566" w:rsidP="00843326" w:rsidRDefault="00451566" w14:paraId="5D5A0DD6" w14:textId="0696E77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6375" w:type="dxa"/>
          </w:tcPr>
          <w:p w:rsidRPr="005A2497" w:rsidR="00451566" w:rsidP="4E2D2630" w:rsidRDefault="16F6B26E" w14:paraId="62D1B66A" w14:textId="667985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4E2D2630"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 w:rsidRPr="4E2D2630" w:rsidR="3371E07C">
              <w:rPr>
                <w:rFonts w:ascii="Arial" w:hAnsi="Arial" w:cs="Arial"/>
                <w:sz w:val="20"/>
                <w:szCs w:val="20"/>
              </w:rPr>
              <w:t>Optimisation</w:t>
            </w:r>
            <w:r w:rsidRPr="4E2D2630" w:rsidR="15817C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5A2497" w:rsidR="00434F3A" w:rsidTr="3255F382" w14:paraId="106CB3D8" w14:textId="77777777">
        <w:tc>
          <w:tcPr>
            <w:tcW w:w="2692" w:type="dxa"/>
            <w:shd w:val="clear" w:color="auto" w:fill="66B0AB"/>
          </w:tcPr>
          <w:p w:rsidRPr="005A2497" w:rsidR="00434F3A" w:rsidP="00843326" w:rsidRDefault="00F140C7" w14:paraId="0CB25EB0" w14:textId="171B7B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Portfolio</w:t>
            </w:r>
            <w:r w:rsidRPr="005A2497" w:rsidR="00434F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Tracker ref</w:t>
            </w:r>
          </w:p>
        </w:tc>
        <w:tc>
          <w:tcPr>
            <w:tcW w:w="6375" w:type="dxa"/>
          </w:tcPr>
          <w:p w:rsidRPr="005A2497" w:rsidR="00434F3A" w:rsidP="3255F382" w:rsidRDefault="0525EF33" w14:paraId="31E745C7" w14:textId="068B34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3255F382">
              <w:rPr>
                <w:rFonts w:ascii="Arial" w:hAnsi="Arial" w:cs="Arial"/>
                <w:sz w:val="20"/>
                <w:szCs w:val="20"/>
              </w:rPr>
              <w:t>RX-00</w:t>
            </w:r>
            <w:r w:rsidRPr="3255F382" w:rsidR="24534F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5A2497" w:rsidR="00C10771" w:rsidTr="3255F382" w14:paraId="144BCE2F" w14:textId="77777777">
        <w:tc>
          <w:tcPr>
            <w:tcW w:w="2692" w:type="dxa"/>
            <w:shd w:val="clear" w:color="auto" w:fill="66B0AB"/>
          </w:tcPr>
          <w:p w:rsidRPr="005A2497" w:rsidR="00C10771" w:rsidP="00843326" w:rsidRDefault="00C10771" w14:paraId="3C27D0DC" w14:textId="5541D90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Current Stage</w:t>
            </w:r>
            <w:r w:rsidRPr="005A2497" w:rsidR="00BE2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Gate:</w:t>
            </w:r>
          </w:p>
        </w:tc>
        <w:tc>
          <w:tcPr>
            <w:tcW w:w="6375" w:type="dxa"/>
          </w:tcPr>
          <w:p w:rsidRPr="005A2497" w:rsidR="00C10771" w:rsidP="4E2D2630" w:rsidRDefault="26800D36" w14:paraId="5E844B5B" w14:textId="2ADB9F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4E2D2630">
              <w:rPr>
                <w:rFonts w:ascii="Arial" w:hAnsi="Arial" w:cs="Arial"/>
                <w:sz w:val="20"/>
                <w:szCs w:val="20"/>
              </w:rPr>
              <w:t>Stage 0: Opportunity Identified</w:t>
            </w:r>
          </w:p>
        </w:tc>
      </w:tr>
      <w:tr w:rsidRPr="005A2497" w:rsidR="00E11B80" w:rsidTr="3255F382" w14:paraId="1D980CBC" w14:textId="77777777">
        <w:tc>
          <w:tcPr>
            <w:tcW w:w="2692" w:type="dxa"/>
            <w:shd w:val="clear" w:color="auto" w:fill="66B0AB"/>
          </w:tcPr>
          <w:p w:rsidRPr="005A2497" w:rsidR="00E11B80" w:rsidP="00843326" w:rsidRDefault="00E11B80" w14:paraId="4FACB26B" w14:textId="5E69CA6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Project Sponsor</w:t>
            </w:r>
          </w:p>
        </w:tc>
        <w:tc>
          <w:tcPr>
            <w:tcW w:w="6375" w:type="dxa"/>
          </w:tcPr>
          <w:p w:rsidRPr="005A2497" w:rsidR="00E11B80" w:rsidP="4E2D2630" w:rsidRDefault="000264B5" w14:paraId="2F45A357" w14:textId="06CC29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Pr="005A2497" w:rsidR="00103135" w:rsidTr="3255F382" w14:paraId="2FBAB93E" w14:textId="77777777">
        <w:tc>
          <w:tcPr>
            <w:tcW w:w="2692" w:type="dxa"/>
            <w:shd w:val="clear" w:color="auto" w:fill="66B0AB"/>
          </w:tcPr>
          <w:p w:rsidRPr="005A2497" w:rsidR="00103135" w:rsidP="00843326" w:rsidRDefault="00103135" w14:paraId="5EDAC4E4" w14:textId="21DBE53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</w:t>
            </w:r>
            <w:r w:rsidRPr="005A2497" w:rsidR="007B43EF">
              <w:rPr>
                <w:rFonts w:ascii="Arial" w:hAnsi="Arial" w:cs="Arial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6375" w:type="dxa"/>
          </w:tcPr>
          <w:p w:rsidRPr="005A2497" w:rsidR="00103135" w:rsidP="4E2D2630" w:rsidRDefault="000264B5" w14:paraId="09C04243" w14:textId="7A56048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Pr="005A2497" w:rsidR="00160958" w:rsidTr="3255F382" w14:paraId="4421895B" w14:textId="77777777">
        <w:tc>
          <w:tcPr>
            <w:tcW w:w="2692" w:type="dxa"/>
            <w:shd w:val="clear" w:color="auto" w:fill="66B0AB"/>
          </w:tcPr>
          <w:p w:rsidRPr="005A2497" w:rsidR="00160958" w:rsidP="00843326" w:rsidRDefault="00160958" w14:paraId="206990A1" w14:textId="1B85B8F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Transformation Theme</w:t>
            </w:r>
          </w:p>
        </w:tc>
        <w:tc>
          <w:tcPr>
            <w:tcW w:w="6375" w:type="dxa"/>
          </w:tcPr>
          <w:p w:rsidRPr="005A2497" w:rsidR="00160958" w:rsidP="4E2D2630" w:rsidRDefault="43285D44" w14:paraId="0CDE3846" w14:textId="6BBD8F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4E2D2630">
              <w:rPr>
                <w:rFonts w:ascii="Arial" w:hAnsi="Arial" w:cs="Arial"/>
                <w:sz w:val="20"/>
                <w:szCs w:val="20"/>
              </w:rPr>
              <w:t>Resident Experience</w:t>
            </w:r>
          </w:p>
        </w:tc>
      </w:tr>
      <w:tr w:rsidRPr="005A2497" w:rsidR="008504F9" w:rsidTr="3255F382" w14:paraId="6A2A6B0B" w14:textId="77777777">
        <w:tc>
          <w:tcPr>
            <w:tcW w:w="2692" w:type="dxa"/>
            <w:shd w:val="clear" w:color="auto" w:fill="66B0AB"/>
          </w:tcPr>
          <w:p w:rsidRPr="005A2497" w:rsidR="008504F9" w:rsidP="00843326" w:rsidRDefault="008504F9" w14:paraId="4597EC35" w14:textId="0990AB8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Contributory Transformation Theme(s)</w:t>
            </w:r>
          </w:p>
        </w:tc>
        <w:tc>
          <w:tcPr>
            <w:tcW w:w="6375" w:type="dxa"/>
          </w:tcPr>
          <w:p w:rsidRPr="005A2497" w:rsidR="008504F9" w:rsidP="4E2D2630" w:rsidRDefault="000F05E3" w14:paraId="704D8D16" w14:textId="7A022A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Pr="005A2497" w:rsidR="00D64E6A" w:rsidTr="3255F382" w14:paraId="109FED17" w14:textId="77777777">
        <w:tc>
          <w:tcPr>
            <w:tcW w:w="2692" w:type="dxa"/>
            <w:shd w:val="clear" w:color="auto" w:fill="66B0AB"/>
          </w:tcPr>
          <w:p w:rsidRPr="005A2497" w:rsidR="00D64E6A" w:rsidP="00843326" w:rsidRDefault="00D64E6A" w14:paraId="39BF07A2" w14:textId="7414B6E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Department and Team</w:t>
            </w:r>
          </w:p>
        </w:tc>
        <w:tc>
          <w:tcPr>
            <w:tcW w:w="6375" w:type="dxa"/>
          </w:tcPr>
          <w:p w:rsidRPr="005A2497" w:rsidR="00D64E6A" w:rsidP="3255F382" w:rsidRDefault="22BD0724" w14:paraId="70949EE0" w14:textId="215E37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3255F382">
              <w:rPr>
                <w:rFonts w:ascii="Arial" w:hAnsi="Arial" w:cs="Arial"/>
                <w:sz w:val="20"/>
                <w:szCs w:val="20"/>
              </w:rPr>
              <w:t xml:space="preserve">Organisational wide </w:t>
            </w:r>
            <w:r w:rsidRPr="3255F382" w:rsidR="02610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Pr="005A2497" w:rsidR="00D00560" w:rsidP="00843326" w:rsidRDefault="00D00560" w14:paraId="74FECF17" w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5A2497" w:rsidR="00D00560" w:rsidTr="40685EDA" w14:paraId="6B52BAB2" w14:textId="77777777">
        <w:tc>
          <w:tcPr>
            <w:tcW w:w="9016" w:type="dxa"/>
          </w:tcPr>
          <w:p w:rsidR="000F05E3" w:rsidP="4E2D2630" w:rsidRDefault="000F05E3" w14:paraId="239BA8F7" w14:textId="7777777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00560" w:rsidP="40685EDA" w:rsidRDefault="42FB1C78" w14:paraId="197E1889" w14:textId="61AB75E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0685E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Through transforming access, developing a new TOM and working more closely with services to identify </w:t>
            </w:r>
            <w:r w:rsidRPr="40685EDA" w:rsidR="5868137D">
              <w:rPr>
                <w:rFonts w:ascii="Arial" w:hAnsi="Arial" w:cs="Arial"/>
                <w:i/>
                <w:iCs/>
                <w:sz w:val="20"/>
                <w:szCs w:val="20"/>
              </w:rPr>
              <w:t>actionable insight</w:t>
            </w:r>
            <w:r w:rsidRPr="40685EDA" w:rsidR="328270CF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40685EDA" w:rsidR="6F1262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there is an opportunity to review and improve any out of hour emergency contacts for residents, to ensure they get the same experience in and </w:t>
            </w:r>
            <w:r w:rsidRPr="40685EDA" w:rsidR="5E4A77BF">
              <w:rPr>
                <w:rFonts w:ascii="Arial" w:hAnsi="Arial" w:cs="Arial"/>
                <w:i/>
                <w:iCs/>
                <w:sz w:val="20"/>
                <w:szCs w:val="20"/>
              </w:rPr>
              <w:t>out of hours and that insight is gathered and actioned to improve services.</w:t>
            </w:r>
          </w:p>
          <w:p w:rsidRPr="005A2497" w:rsidR="000F05E3" w:rsidP="4E2D2630" w:rsidRDefault="000F05E3" w14:paraId="75A8E47E" w14:textId="4015E91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Pr="005A2497" w:rsidR="00D00560" w:rsidP="00843326" w:rsidRDefault="00D00560" w14:paraId="5EA8E2C4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EB0618" w:rsidR="00451566" w:rsidP="00EB0618" w:rsidRDefault="00451566" w14:paraId="7E7FC863" w14:textId="603FDBA3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EB0618">
        <w:rPr>
          <w:rFonts w:ascii="Arial" w:hAnsi="Arial" w:cs="Arial"/>
          <w:b/>
          <w:bCs/>
          <w:color w:val="FFFFFF" w:themeColor="background1"/>
          <w:sz w:val="20"/>
          <w:szCs w:val="20"/>
        </w:rPr>
        <w:t>Scope</w:t>
      </w:r>
      <w:r w:rsidRPr="00EB0618" w:rsidR="007C6A50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of Project</w:t>
      </w:r>
      <w:r w:rsidRPr="00EB0618" w:rsidR="0016095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/ Opportunity</w:t>
      </w:r>
    </w:p>
    <w:p w:rsidRPr="005A2497" w:rsidR="00B42CDF" w:rsidP="00B42CDF" w:rsidRDefault="00B42CDF" w14:paraId="6DE301CA" w14:textId="77777777">
      <w:pPr>
        <w:pStyle w:val="NoSpacing"/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A2497" w:rsidR="00160958" w:rsidTr="2E32F7DF" w14:paraId="6752377D" w14:textId="77777777">
        <w:tc>
          <w:tcPr>
            <w:tcW w:w="4508" w:type="dxa"/>
            <w:shd w:val="clear" w:color="auto" w:fill="66B0AB"/>
          </w:tcPr>
          <w:p w:rsidRPr="005A2497" w:rsidR="00160958" w:rsidP="00843326" w:rsidRDefault="00160958" w14:paraId="0DE59543" w14:textId="5A6EAE8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In scope</w:t>
            </w:r>
          </w:p>
        </w:tc>
        <w:tc>
          <w:tcPr>
            <w:tcW w:w="4508" w:type="dxa"/>
            <w:shd w:val="clear" w:color="auto" w:fill="66B0AB"/>
          </w:tcPr>
          <w:p w:rsidRPr="005A2497" w:rsidR="00160958" w:rsidP="00843326" w:rsidRDefault="00160958" w14:paraId="3B9BE94E" w14:textId="077A16B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Out of Scope</w:t>
            </w:r>
          </w:p>
        </w:tc>
      </w:tr>
      <w:tr w:rsidRPr="005A2497" w:rsidR="00160958" w:rsidTr="2E32F7DF" w14:paraId="7BD115FC" w14:textId="77777777">
        <w:tc>
          <w:tcPr>
            <w:tcW w:w="4508" w:type="dxa"/>
          </w:tcPr>
          <w:p w:rsidRPr="005A2497" w:rsidR="00160958" w:rsidP="00843326" w:rsidRDefault="197FD3F4" w14:paraId="5827B4AA" w14:textId="01602F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All services </w:t>
            </w:r>
          </w:p>
        </w:tc>
        <w:tc>
          <w:tcPr>
            <w:tcW w:w="4508" w:type="dxa"/>
          </w:tcPr>
          <w:p w:rsidRPr="005A2497" w:rsidR="00160958" w:rsidP="00843326" w:rsidRDefault="00160958" w14:paraId="064ABA13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A2497" w:rsidR="00451566" w:rsidP="00843326" w:rsidRDefault="00451566" w14:paraId="7292B331" w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15"/>
      </w:tblGrid>
      <w:tr w:rsidR="06C28F35" w:rsidTr="06C28F35" w14:paraId="76EC6409" w14:textId="77777777">
        <w:trPr>
          <w:trHeight w:val="300"/>
        </w:trPr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06C28F35" w:rsidP="06C28F35" w:rsidRDefault="06C28F35" w14:paraId="73239B3A" w14:textId="0AAAF264">
            <w:p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6C28F35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Linked / Complementary OBCs</w:t>
            </w:r>
          </w:p>
        </w:tc>
      </w:tr>
      <w:tr w:rsidR="06C28F35" w:rsidTr="06C28F35" w14:paraId="58677A5C" w14:textId="77777777">
        <w:trPr>
          <w:trHeight w:val="600"/>
        </w:trPr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6C28F35" w:rsidP="06C28F35" w:rsidRDefault="06C28F35" w14:paraId="1136B2FD" w14:textId="5FC2634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6C28F3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Service </w:t>
            </w:r>
            <w:r w:rsidRPr="06C28F35" w:rsidR="221C9C2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Integration</w:t>
            </w:r>
          </w:p>
          <w:p w:rsidR="06C28F35" w:rsidP="06C28F35" w:rsidRDefault="06C28F35" w14:paraId="0AECD9F9" w14:textId="6E1D4CD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6C28F3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Resident Experience</w:t>
            </w:r>
          </w:p>
        </w:tc>
      </w:tr>
    </w:tbl>
    <w:p w:rsidR="06C28F35" w:rsidP="06C28F35" w:rsidRDefault="06C28F35" w14:paraId="7A5B85BF" w14:textId="1F387E2B">
      <w:pPr>
        <w:pStyle w:val="NoSpacing"/>
        <w:rPr>
          <w:rFonts w:ascii="Arial" w:hAnsi="Arial" w:cs="Arial"/>
          <w:sz w:val="20"/>
          <w:szCs w:val="20"/>
        </w:rPr>
      </w:pPr>
    </w:p>
    <w:p w:rsidR="06C28F35" w:rsidP="06C28F35" w:rsidRDefault="06C28F35" w14:paraId="3748388F" w14:textId="50DAFB56">
      <w:pPr>
        <w:pStyle w:val="NoSpacing"/>
        <w:rPr>
          <w:rFonts w:ascii="Arial" w:hAnsi="Arial" w:cs="Arial"/>
          <w:sz w:val="20"/>
          <w:szCs w:val="20"/>
        </w:rPr>
      </w:pPr>
    </w:p>
    <w:p w:rsidRPr="005A2497" w:rsidR="00160958" w:rsidP="00EB0618" w:rsidRDefault="00160958" w14:paraId="1201E35E" w14:textId="5B480792">
      <w:pPr>
        <w:pStyle w:val="NoSpacing"/>
        <w:shd w:val="clear" w:color="auto" w:fill="7030A0"/>
        <w:rPr>
          <w:rFonts w:ascii="Arial" w:hAnsi="Arial" w:cs="Arial"/>
          <w:b/>
          <w:bCs/>
          <w:sz w:val="20"/>
          <w:szCs w:val="20"/>
        </w:rPr>
      </w:pPr>
      <w:r w:rsidRPr="00EB061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7030A0"/>
        </w:rPr>
        <w:t>Objectives</w:t>
      </w:r>
    </w:p>
    <w:p w:rsidRPr="005A2497" w:rsidR="0061045B" w:rsidP="0061045B" w:rsidRDefault="38F61F5D" w14:paraId="60D30DF5" w14:textId="71D418A2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2E32F7DF">
        <w:rPr>
          <w:rFonts w:ascii="Arial" w:hAnsi="Arial" w:cs="Arial"/>
          <w:sz w:val="20"/>
          <w:szCs w:val="20"/>
        </w:rPr>
        <w:t xml:space="preserve">Review all out of </w:t>
      </w:r>
      <w:r w:rsidRPr="2E32F7DF" w:rsidR="514E2425">
        <w:rPr>
          <w:rFonts w:ascii="Arial" w:hAnsi="Arial" w:cs="Arial"/>
          <w:sz w:val="20"/>
          <w:szCs w:val="20"/>
        </w:rPr>
        <w:t>hours</w:t>
      </w:r>
      <w:r w:rsidRPr="2E32F7DF">
        <w:rPr>
          <w:rFonts w:ascii="Arial" w:hAnsi="Arial" w:cs="Arial"/>
          <w:sz w:val="20"/>
          <w:szCs w:val="20"/>
        </w:rPr>
        <w:t xml:space="preserve"> services</w:t>
      </w:r>
      <w:r w:rsidRPr="2E32F7DF" w:rsidR="6ECEBA50">
        <w:rPr>
          <w:rFonts w:ascii="Arial" w:hAnsi="Arial" w:cs="Arial"/>
          <w:sz w:val="20"/>
          <w:szCs w:val="20"/>
        </w:rPr>
        <w:t xml:space="preserve">. Including demand, </w:t>
      </w:r>
      <w:r w:rsidRPr="2E32F7DF" w:rsidR="0A318CE7">
        <w:rPr>
          <w:rFonts w:ascii="Arial" w:hAnsi="Arial" w:cs="Arial"/>
          <w:sz w:val="20"/>
          <w:szCs w:val="20"/>
        </w:rPr>
        <w:t>current performance and cost</w:t>
      </w:r>
      <w:r w:rsidRPr="2E32F7DF" w:rsidR="0F744139">
        <w:rPr>
          <w:rFonts w:ascii="Arial" w:hAnsi="Arial" w:cs="Arial"/>
          <w:sz w:val="20"/>
          <w:szCs w:val="20"/>
        </w:rPr>
        <w:t xml:space="preserve">. </w:t>
      </w:r>
    </w:p>
    <w:p w:rsidR="4A5A69C5" w:rsidP="40685EDA" w:rsidRDefault="4A5A69C5" w14:paraId="5B8671AF" w14:textId="150D0B80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40685EDA">
        <w:rPr>
          <w:rFonts w:ascii="Arial" w:hAnsi="Arial" w:cs="Arial"/>
          <w:sz w:val="20"/>
          <w:szCs w:val="20"/>
        </w:rPr>
        <w:t>I</w:t>
      </w:r>
      <w:r w:rsidRPr="40685EDA" w:rsidR="1384C7F0">
        <w:rPr>
          <w:rFonts w:ascii="Arial" w:hAnsi="Arial" w:cs="Arial"/>
          <w:sz w:val="20"/>
          <w:szCs w:val="20"/>
        </w:rPr>
        <w:t xml:space="preserve">dentify opportunities </w:t>
      </w:r>
      <w:r w:rsidRPr="40685EDA" w:rsidR="0A999A76">
        <w:rPr>
          <w:rFonts w:ascii="Arial" w:hAnsi="Arial" w:cs="Arial"/>
          <w:sz w:val="20"/>
          <w:szCs w:val="20"/>
        </w:rPr>
        <w:t xml:space="preserve">to consolidate </w:t>
      </w:r>
      <w:r w:rsidRPr="40685EDA" w:rsidR="56D196F4">
        <w:rPr>
          <w:rFonts w:ascii="Arial" w:hAnsi="Arial" w:cs="Arial"/>
          <w:sz w:val="20"/>
          <w:szCs w:val="20"/>
        </w:rPr>
        <w:t xml:space="preserve">out of hours </w:t>
      </w:r>
      <w:r w:rsidRPr="40685EDA" w:rsidR="48EF5CEE">
        <w:rPr>
          <w:rFonts w:ascii="Arial" w:hAnsi="Arial" w:cs="Arial"/>
          <w:sz w:val="20"/>
          <w:szCs w:val="20"/>
        </w:rPr>
        <w:t xml:space="preserve">contracts </w:t>
      </w:r>
      <w:r w:rsidRPr="40685EDA" w:rsidR="01A2809F">
        <w:rPr>
          <w:rFonts w:ascii="Arial" w:hAnsi="Arial" w:cs="Arial"/>
          <w:sz w:val="20"/>
          <w:szCs w:val="20"/>
        </w:rPr>
        <w:t>for cost, outcomes and resident experience</w:t>
      </w:r>
      <w:r w:rsidRPr="40685EDA" w:rsidR="2DACA788">
        <w:rPr>
          <w:rFonts w:ascii="Arial" w:hAnsi="Arial" w:cs="Arial"/>
          <w:sz w:val="20"/>
          <w:szCs w:val="20"/>
        </w:rPr>
        <w:t>.</w:t>
      </w:r>
    </w:p>
    <w:p w:rsidR="0CF60184" w:rsidP="40685EDA" w:rsidRDefault="0CF60184" w14:paraId="1C087F1D" w14:textId="3198F02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40685EDA">
        <w:rPr>
          <w:rFonts w:ascii="Arial" w:hAnsi="Arial" w:cs="Arial"/>
          <w:sz w:val="20"/>
          <w:szCs w:val="20"/>
        </w:rPr>
        <w:t>Review opportunities to align out of hours services with the new TOM and customer experience service standards</w:t>
      </w:r>
      <w:r w:rsidR="00495901">
        <w:rPr>
          <w:rFonts w:ascii="Arial" w:hAnsi="Arial" w:cs="Arial"/>
          <w:sz w:val="20"/>
          <w:szCs w:val="20"/>
        </w:rPr>
        <w:t>.</w:t>
      </w:r>
    </w:p>
    <w:p w:rsidRPr="005A2497" w:rsidR="0061045B" w:rsidP="2E32F7DF" w:rsidRDefault="0061045B" w14:paraId="509C9493" w14:textId="4FE4E6B1">
      <w:pPr>
        <w:pStyle w:val="NoSpacing"/>
        <w:rPr>
          <w:rFonts w:ascii="Arial" w:hAnsi="Arial" w:cs="Arial"/>
          <w:sz w:val="20"/>
          <w:szCs w:val="20"/>
        </w:rPr>
      </w:pPr>
    </w:p>
    <w:p w:rsidRPr="00F17E78" w:rsidR="25B045F0" w:rsidP="00F17E78" w:rsidRDefault="00935126" w14:paraId="0A3F86F9" w14:textId="7AC8C330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4E2D2630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Assessment of </w:t>
      </w:r>
      <w:r w:rsidRPr="4E2D2630" w:rsidR="00A7540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the </w:t>
      </w:r>
      <w:r w:rsidRPr="4E2D2630">
        <w:rPr>
          <w:rFonts w:ascii="Arial" w:hAnsi="Arial" w:cs="Arial"/>
          <w:b/>
          <w:bCs/>
          <w:color w:val="FFFFFF" w:themeColor="background1"/>
          <w:sz w:val="20"/>
          <w:szCs w:val="20"/>
        </w:rPr>
        <w:t>Current Position</w:t>
      </w:r>
    </w:p>
    <w:p w:rsidR="00FB0AA2" w:rsidP="4E2D2630" w:rsidRDefault="79FCDCBF" w14:paraId="0EE79BD7" w14:textId="32AC3D29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F11114F">
        <w:rPr>
          <w:rFonts w:ascii="Arial" w:hAnsi="Arial" w:cs="Arial"/>
          <w:sz w:val="20"/>
          <w:szCs w:val="20"/>
        </w:rPr>
        <w:t xml:space="preserve">There is currently various out of hours provision </w:t>
      </w:r>
      <w:r w:rsidRPr="0F11114F" w:rsidR="57AE2641">
        <w:rPr>
          <w:rFonts w:ascii="Arial" w:hAnsi="Arial" w:cs="Arial"/>
          <w:sz w:val="20"/>
          <w:szCs w:val="20"/>
        </w:rPr>
        <w:t>e.g.,</w:t>
      </w:r>
      <w:r w:rsidRPr="0F11114F">
        <w:rPr>
          <w:rFonts w:ascii="Arial" w:hAnsi="Arial" w:cs="Arial"/>
          <w:sz w:val="20"/>
          <w:szCs w:val="20"/>
        </w:rPr>
        <w:t xml:space="preserve"> </w:t>
      </w:r>
      <w:r w:rsidRPr="0F11114F" w:rsidR="7F64A804">
        <w:rPr>
          <w:rFonts w:ascii="Arial" w:hAnsi="Arial" w:cs="Arial"/>
          <w:sz w:val="20"/>
          <w:szCs w:val="20"/>
        </w:rPr>
        <w:t>H</w:t>
      </w:r>
      <w:r w:rsidRPr="0F11114F">
        <w:rPr>
          <w:rFonts w:ascii="Arial" w:hAnsi="Arial" w:cs="Arial"/>
          <w:sz w:val="20"/>
          <w:szCs w:val="20"/>
        </w:rPr>
        <w:t xml:space="preserve">ousing is run in-house with officers on duty and </w:t>
      </w:r>
      <w:r w:rsidRPr="0F11114F" w:rsidR="45F2973B">
        <w:rPr>
          <w:rFonts w:ascii="Arial" w:hAnsi="Arial" w:cs="Arial"/>
          <w:sz w:val="20"/>
          <w:szCs w:val="20"/>
        </w:rPr>
        <w:t>S</w:t>
      </w:r>
      <w:r w:rsidRPr="0F11114F">
        <w:rPr>
          <w:rFonts w:ascii="Arial" w:hAnsi="Arial" w:cs="Arial"/>
          <w:sz w:val="20"/>
          <w:szCs w:val="20"/>
        </w:rPr>
        <w:t xml:space="preserve">ocial </w:t>
      </w:r>
      <w:r w:rsidRPr="0F11114F" w:rsidR="4A514FFF">
        <w:rPr>
          <w:rFonts w:ascii="Arial" w:hAnsi="Arial" w:cs="Arial"/>
          <w:sz w:val="20"/>
          <w:szCs w:val="20"/>
        </w:rPr>
        <w:t>C</w:t>
      </w:r>
      <w:r w:rsidRPr="0F11114F">
        <w:rPr>
          <w:rFonts w:ascii="Arial" w:hAnsi="Arial" w:cs="Arial"/>
          <w:sz w:val="20"/>
          <w:szCs w:val="20"/>
        </w:rPr>
        <w:t>are is run by Central Bedfordshire Council</w:t>
      </w:r>
      <w:r w:rsidRPr="0F11114F" w:rsidR="61ED1F27">
        <w:rPr>
          <w:rFonts w:ascii="Arial" w:hAnsi="Arial" w:cs="Arial"/>
          <w:sz w:val="20"/>
          <w:szCs w:val="20"/>
        </w:rPr>
        <w:t xml:space="preserve"> at a cost of £6</w:t>
      </w:r>
      <w:r w:rsidRPr="0F11114F" w:rsidR="27E225A2">
        <w:rPr>
          <w:rFonts w:ascii="Arial" w:hAnsi="Arial" w:cs="Arial"/>
          <w:sz w:val="20"/>
          <w:szCs w:val="20"/>
        </w:rPr>
        <w:t>3</w:t>
      </w:r>
      <w:r w:rsidRPr="0F11114F" w:rsidR="61ED1F27">
        <w:rPr>
          <w:rFonts w:ascii="Arial" w:hAnsi="Arial" w:cs="Arial"/>
          <w:sz w:val="20"/>
          <w:szCs w:val="20"/>
        </w:rPr>
        <w:t>0k</w:t>
      </w:r>
      <w:r w:rsidRPr="0F11114F">
        <w:rPr>
          <w:rFonts w:ascii="Arial" w:hAnsi="Arial" w:cs="Arial"/>
          <w:sz w:val="20"/>
          <w:szCs w:val="20"/>
        </w:rPr>
        <w:t xml:space="preserve">. </w:t>
      </w:r>
      <w:r w:rsidRPr="0F11114F" w:rsidR="622FD03A">
        <w:rPr>
          <w:rFonts w:ascii="Arial" w:hAnsi="Arial" w:cs="Arial"/>
          <w:sz w:val="20"/>
          <w:szCs w:val="20"/>
        </w:rPr>
        <w:t>The cost of other out of hours provision is unknown</w:t>
      </w:r>
      <w:r w:rsidRPr="0F11114F" w:rsidR="673F95AE">
        <w:rPr>
          <w:rFonts w:ascii="Arial" w:hAnsi="Arial" w:cs="Arial"/>
          <w:sz w:val="20"/>
          <w:szCs w:val="20"/>
        </w:rPr>
        <w:t>, but given staff must be available 365 days a year, this is likely to be considerable</w:t>
      </w:r>
      <w:r w:rsidRPr="0F11114F" w:rsidR="622FD03A">
        <w:rPr>
          <w:rFonts w:ascii="Arial" w:hAnsi="Arial" w:cs="Arial"/>
          <w:sz w:val="20"/>
          <w:szCs w:val="20"/>
        </w:rPr>
        <w:t>.</w:t>
      </w:r>
    </w:p>
    <w:p w:rsidR="00F17E78" w:rsidP="4E2D2630" w:rsidRDefault="2F14EDDB" w14:paraId="0148C34A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2E32F7DF">
        <w:rPr>
          <w:rFonts w:ascii="Arial" w:hAnsi="Arial" w:cs="Arial"/>
          <w:sz w:val="20"/>
          <w:szCs w:val="20"/>
        </w:rPr>
        <w:t>Anecdotally</w:t>
      </w:r>
      <w:r w:rsidRPr="2E32F7DF" w:rsidR="25F7011B">
        <w:rPr>
          <w:rFonts w:ascii="Arial" w:hAnsi="Arial" w:cs="Arial"/>
          <w:sz w:val="20"/>
          <w:szCs w:val="20"/>
        </w:rPr>
        <w:t>,</w:t>
      </w:r>
      <w:r w:rsidRPr="2E32F7DF">
        <w:rPr>
          <w:rFonts w:ascii="Arial" w:hAnsi="Arial" w:cs="Arial"/>
          <w:sz w:val="20"/>
          <w:szCs w:val="20"/>
        </w:rPr>
        <w:t xml:space="preserve"> there is very little performance data from existing contracts and insight into reasons customers called emergency line and outcomes. </w:t>
      </w:r>
    </w:p>
    <w:p w:rsidR="25B045F0" w:rsidP="4E2D2630" w:rsidRDefault="1DC2C1C6" w14:paraId="56910AA0" w14:textId="24F5B5B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2E32F7DF">
        <w:rPr>
          <w:rFonts w:ascii="Arial" w:hAnsi="Arial" w:cs="Arial"/>
          <w:sz w:val="20"/>
          <w:szCs w:val="20"/>
        </w:rPr>
        <w:t>There is an opportunity to consolidate all</w:t>
      </w:r>
      <w:r w:rsidRPr="2E32F7DF" w:rsidR="3F849C10">
        <w:rPr>
          <w:rFonts w:ascii="Arial" w:hAnsi="Arial" w:cs="Arial"/>
          <w:sz w:val="20"/>
          <w:szCs w:val="20"/>
        </w:rPr>
        <w:t xml:space="preserve"> provision into one contract that can be designed to be </w:t>
      </w:r>
      <w:r w:rsidRPr="2E32F7DF" w:rsidR="021E65CE">
        <w:rPr>
          <w:rFonts w:ascii="Arial" w:hAnsi="Arial" w:cs="Arial"/>
          <w:sz w:val="20"/>
          <w:szCs w:val="20"/>
        </w:rPr>
        <w:t>transparent</w:t>
      </w:r>
      <w:r w:rsidRPr="2E32F7DF" w:rsidR="3F849C10">
        <w:rPr>
          <w:rFonts w:ascii="Arial" w:hAnsi="Arial" w:cs="Arial"/>
          <w:sz w:val="20"/>
          <w:szCs w:val="20"/>
        </w:rPr>
        <w:t xml:space="preserve"> in performance</w:t>
      </w:r>
      <w:r w:rsidRPr="2E32F7DF" w:rsidR="7C3C018B">
        <w:rPr>
          <w:rFonts w:ascii="Arial" w:hAnsi="Arial" w:cs="Arial"/>
          <w:sz w:val="20"/>
          <w:szCs w:val="20"/>
        </w:rPr>
        <w:t xml:space="preserve"> and desired outcomes for </w:t>
      </w:r>
      <w:r w:rsidRPr="2E32F7DF" w:rsidR="0015113B">
        <w:rPr>
          <w:rFonts w:ascii="Arial" w:hAnsi="Arial" w:cs="Arial"/>
          <w:sz w:val="20"/>
          <w:szCs w:val="20"/>
        </w:rPr>
        <w:t>residents</w:t>
      </w:r>
      <w:r w:rsidRPr="2E32F7DF" w:rsidR="7C3C018B">
        <w:rPr>
          <w:rFonts w:ascii="Arial" w:hAnsi="Arial" w:cs="Arial"/>
          <w:sz w:val="20"/>
          <w:szCs w:val="20"/>
        </w:rPr>
        <w:t xml:space="preserve">. </w:t>
      </w:r>
    </w:p>
    <w:p w:rsidR="00D67855" w:rsidP="00D67855" w:rsidRDefault="00D67855" w14:paraId="50323CEE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EB0618" w:rsidR="00D67855" w:rsidP="00D67855" w:rsidRDefault="00D67855" w14:paraId="5C06505A" w14:textId="0AC24D01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bCs/>
          <w:color w:val="FFFFFF" w:themeColor="background1"/>
          <w:sz w:val="20"/>
          <w:szCs w:val="20"/>
        </w:rPr>
        <w:t>Proposed Changes</w:t>
      </w:r>
    </w:p>
    <w:p w:rsidR="00D67855" w:rsidP="00D67855" w:rsidRDefault="00F26AC8" w14:paraId="020A6045" w14:textId="5088DB0A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Consolidate out of hours contracts</w:t>
      </w:r>
      <w:r w:rsidR="00495901">
        <w:rPr>
          <w:rFonts w:ascii="Arial" w:hAnsi="Arial" w:cs="Arial"/>
          <w:sz w:val="20"/>
          <w:szCs w:val="20"/>
        </w:rPr>
        <w:t>.</w:t>
      </w:r>
    </w:p>
    <w:p w:rsidR="00495901" w:rsidP="00D67855" w:rsidRDefault="0CA0F1C4" w14:paraId="3C85A66C" w14:textId="42B29A75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F11114F">
        <w:rPr>
          <w:rFonts w:ascii="Arial" w:hAnsi="Arial" w:cs="Arial"/>
          <w:sz w:val="20"/>
          <w:szCs w:val="20"/>
        </w:rPr>
        <w:t xml:space="preserve">Assess the potential to align out of hours services with the new TOM and customer experience service standards. </w:t>
      </w:r>
    </w:p>
    <w:p w:rsidRPr="00F17E78" w:rsidR="00495901" w:rsidP="00F17E78" w:rsidRDefault="6CD2DA36" w14:paraId="28F92F2A" w14:textId="5FC55F3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F11114F">
        <w:rPr>
          <w:rFonts w:ascii="Arial" w:hAnsi="Arial" w:cs="Arial"/>
          <w:sz w:val="20"/>
          <w:szCs w:val="20"/>
        </w:rPr>
        <w:t xml:space="preserve">Luton spends £630k on </w:t>
      </w:r>
      <w:r w:rsidRPr="0F11114F" w:rsidR="2062D240">
        <w:rPr>
          <w:rFonts w:ascii="Arial" w:hAnsi="Arial" w:cs="Arial"/>
          <w:sz w:val="20"/>
          <w:szCs w:val="20"/>
        </w:rPr>
        <w:t>S</w:t>
      </w:r>
      <w:r w:rsidRPr="0F11114F" w:rsidR="4E04D3DC">
        <w:rPr>
          <w:rFonts w:ascii="Arial" w:hAnsi="Arial" w:cs="Arial"/>
          <w:sz w:val="20"/>
          <w:szCs w:val="20"/>
        </w:rPr>
        <w:t xml:space="preserve">ocial </w:t>
      </w:r>
      <w:r w:rsidRPr="0F11114F" w:rsidR="7247CCC9">
        <w:rPr>
          <w:rFonts w:ascii="Arial" w:hAnsi="Arial" w:cs="Arial"/>
          <w:sz w:val="20"/>
          <w:szCs w:val="20"/>
        </w:rPr>
        <w:t>C</w:t>
      </w:r>
      <w:r w:rsidRPr="0F11114F" w:rsidR="4E04D3DC">
        <w:rPr>
          <w:rFonts w:ascii="Arial" w:hAnsi="Arial" w:cs="Arial"/>
          <w:sz w:val="20"/>
          <w:szCs w:val="20"/>
        </w:rPr>
        <w:t xml:space="preserve">are </w:t>
      </w:r>
      <w:r w:rsidRPr="0F11114F">
        <w:rPr>
          <w:rFonts w:ascii="Arial" w:hAnsi="Arial" w:cs="Arial"/>
          <w:sz w:val="20"/>
          <w:szCs w:val="20"/>
        </w:rPr>
        <w:t>emergency duty teams with Central Bedfordshire,</w:t>
      </w:r>
      <w:r w:rsidRPr="0F11114F" w:rsidR="3855ED0A">
        <w:rPr>
          <w:rFonts w:ascii="Arial" w:hAnsi="Arial" w:cs="Arial"/>
          <w:sz w:val="20"/>
          <w:szCs w:val="20"/>
        </w:rPr>
        <w:t xml:space="preserve"> alongside this there is additional salaries being paid to officers for other statutory services</w:t>
      </w:r>
      <w:r w:rsidRPr="0F11114F" w:rsidR="7F3112B6">
        <w:rPr>
          <w:rFonts w:ascii="Arial" w:hAnsi="Arial" w:cs="Arial"/>
          <w:sz w:val="20"/>
          <w:szCs w:val="20"/>
        </w:rPr>
        <w:t>, which will include Housing Repairs and Highways.</w:t>
      </w:r>
      <w:r w:rsidRPr="0F11114F" w:rsidR="3855ED0A">
        <w:rPr>
          <w:rFonts w:ascii="Arial" w:hAnsi="Arial" w:cs="Arial"/>
          <w:sz w:val="20"/>
          <w:szCs w:val="20"/>
        </w:rPr>
        <w:t xml:space="preserve"> </w:t>
      </w:r>
    </w:p>
    <w:p w:rsidRPr="00F17E78" w:rsidR="00495901" w:rsidP="00F17E78" w:rsidRDefault="5B6B7970" w14:paraId="185D1CFA" w14:textId="1773FD5B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F11114F">
        <w:rPr>
          <w:rFonts w:ascii="Arial" w:hAnsi="Arial" w:cs="Arial"/>
          <w:sz w:val="20"/>
          <w:szCs w:val="20"/>
        </w:rPr>
        <w:t xml:space="preserve">As a benchmark, London Borough of Hackney have an out of hours provider running all services for approx. £500k PA. Hackney </w:t>
      </w:r>
      <w:r w:rsidRPr="0F11114F" w:rsidR="57502FE8">
        <w:rPr>
          <w:rFonts w:ascii="Arial" w:hAnsi="Arial" w:cs="Arial"/>
          <w:sz w:val="20"/>
          <w:szCs w:val="20"/>
        </w:rPr>
        <w:t>is of a similar size to Luton with</w:t>
      </w:r>
      <w:r w:rsidRPr="0F11114F">
        <w:rPr>
          <w:rFonts w:ascii="Arial" w:hAnsi="Arial" w:cs="Arial"/>
          <w:sz w:val="20"/>
          <w:szCs w:val="20"/>
        </w:rPr>
        <w:t xml:space="preserve"> 2</w:t>
      </w:r>
      <w:r w:rsidRPr="0F11114F" w:rsidR="765054B7">
        <w:rPr>
          <w:rFonts w:ascii="Arial" w:hAnsi="Arial" w:cs="Arial"/>
          <w:sz w:val="20"/>
          <w:szCs w:val="20"/>
        </w:rPr>
        <w:t>5</w:t>
      </w:r>
      <w:r w:rsidRPr="0F11114F">
        <w:rPr>
          <w:rFonts w:ascii="Arial" w:hAnsi="Arial" w:cs="Arial"/>
          <w:sz w:val="20"/>
          <w:szCs w:val="20"/>
        </w:rPr>
        <w:t>9,000 residents compared to Luton's 2</w:t>
      </w:r>
      <w:r w:rsidRPr="0F11114F" w:rsidR="51E65E72">
        <w:rPr>
          <w:rFonts w:ascii="Arial" w:hAnsi="Arial" w:cs="Arial"/>
          <w:sz w:val="20"/>
          <w:szCs w:val="20"/>
        </w:rPr>
        <w:t>25</w:t>
      </w:r>
      <w:r w:rsidRPr="0F11114F">
        <w:rPr>
          <w:rFonts w:ascii="Arial" w:hAnsi="Arial" w:cs="Arial"/>
          <w:sz w:val="20"/>
          <w:szCs w:val="20"/>
        </w:rPr>
        <w:t>,000</w:t>
      </w:r>
      <w:r w:rsidRPr="0F11114F" w:rsidR="4FC5010A">
        <w:rPr>
          <w:rFonts w:ascii="Arial" w:hAnsi="Arial" w:cs="Arial"/>
          <w:sz w:val="20"/>
          <w:szCs w:val="20"/>
        </w:rPr>
        <w:t xml:space="preserve">. Given that Luton’s spend on Social Care </w:t>
      </w:r>
      <w:r w:rsidRPr="0F11114F" w:rsidR="3A02E4A9">
        <w:rPr>
          <w:rFonts w:ascii="Arial" w:hAnsi="Arial" w:cs="Arial"/>
          <w:sz w:val="20"/>
          <w:szCs w:val="20"/>
        </w:rPr>
        <w:t xml:space="preserve">out of hours alone </w:t>
      </w:r>
      <w:r w:rsidRPr="0F11114F" w:rsidR="4FC5010A">
        <w:rPr>
          <w:rFonts w:ascii="Arial" w:hAnsi="Arial" w:cs="Arial"/>
          <w:sz w:val="20"/>
          <w:szCs w:val="20"/>
        </w:rPr>
        <w:t xml:space="preserve">is £630k, </w:t>
      </w:r>
      <w:r w:rsidRPr="0F11114F">
        <w:rPr>
          <w:rFonts w:ascii="Arial" w:hAnsi="Arial" w:cs="Arial"/>
          <w:sz w:val="20"/>
          <w:szCs w:val="20"/>
        </w:rPr>
        <w:t>£200</w:t>
      </w:r>
      <w:r w:rsidRPr="0F11114F" w:rsidR="6715785F">
        <w:rPr>
          <w:rFonts w:ascii="Arial" w:hAnsi="Arial" w:cs="Arial"/>
          <w:sz w:val="20"/>
          <w:szCs w:val="20"/>
        </w:rPr>
        <w:t>k</w:t>
      </w:r>
      <w:r w:rsidRPr="0F11114F">
        <w:rPr>
          <w:rFonts w:ascii="Arial" w:hAnsi="Arial" w:cs="Arial"/>
          <w:sz w:val="20"/>
          <w:szCs w:val="20"/>
        </w:rPr>
        <w:t xml:space="preserve"> </w:t>
      </w:r>
      <w:r w:rsidRPr="0F11114F" w:rsidR="0E78094D">
        <w:rPr>
          <w:rFonts w:ascii="Arial" w:hAnsi="Arial" w:cs="Arial"/>
          <w:sz w:val="20"/>
          <w:szCs w:val="20"/>
        </w:rPr>
        <w:t xml:space="preserve">in savings is a conservative estimate </w:t>
      </w:r>
      <w:r w:rsidRPr="0F11114F" w:rsidR="40FDA12C">
        <w:rPr>
          <w:rFonts w:ascii="Arial" w:hAnsi="Arial" w:cs="Arial"/>
          <w:sz w:val="20"/>
          <w:szCs w:val="20"/>
        </w:rPr>
        <w:t xml:space="preserve">and </w:t>
      </w:r>
      <w:r w:rsidRPr="0F11114F">
        <w:rPr>
          <w:rFonts w:ascii="Arial" w:hAnsi="Arial" w:cs="Arial"/>
          <w:sz w:val="20"/>
          <w:szCs w:val="20"/>
        </w:rPr>
        <w:t>should be achievable</w:t>
      </w:r>
      <w:r w:rsidRPr="0F11114F" w:rsidR="383910CC">
        <w:rPr>
          <w:rFonts w:ascii="Arial" w:hAnsi="Arial" w:cs="Arial"/>
          <w:sz w:val="20"/>
          <w:szCs w:val="20"/>
        </w:rPr>
        <w:t xml:space="preserve"> by consolidating contracts and outsourcing</w:t>
      </w:r>
      <w:r w:rsidRPr="0F11114F">
        <w:rPr>
          <w:rFonts w:ascii="Arial" w:hAnsi="Arial" w:cs="Arial"/>
          <w:sz w:val="20"/>
          <w:szCs w:val="20"/>
        </w:rPr>
        <w:t>.</w:t>
      </w:r>
    </w:p>
    <w:p w:rsidR="25B045F0" w:rsidP="25B045F0" w:rsidRDefault="25B045F0" w14:paraId="0C592E73" w14:textId="2DF5D958">
      <w:pPr>
        <w:pStyle w:val="NoSpacing"/>
        <w:rPr>
          <w:rFonts w:ascii="Arial" w:hAnsi="Arial" w:cs="Arial"/>
          <w:sz w:val="20"/>
          <w:szCs w:val="20"/>
        </w:rPr>
      </w:pPr>
    </w:p>
    <w:p w:rsidRPr="00EB0618" w:rsidR="00451566" w:rsidP="00EB0618" w:rsidRDefault="00451566" w14:paraId="45B9E7D7" w14:textId="77777777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EB0618">
        <w:rPr>
          <w:rFonts w:ascii="Arial" w:hAnsi="Arial" w:cs="Arial"/>
          <w:b/>
          <w:bCs/>
          <w:color w:val="FFFFFF" w:themeColor="background1"/>
          <w:sz w:val="20"/>
          <w:szCs w:val="20"/>
        </w:rPr>
        <w:t>Opportunity Qualification</w:t>
      </w:r>
    </w:p>
    <w:p w:rsidRPr="005A2497" w:rsidR="00B42CDF" w:rsidP="00B42CDF" w:rsidRDefault="00B42CDF" w14:paraId="52DEC7BD" w14:textId="77777777">
      <w:pPr>
        <w:pStyle w:val="NoSpacing"/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985"/>
      </w:tblGrid>
      <w:tr w:rsidRPr="005A2497" w:rsidR="000D2E30" w:rsidTr="4A6795BB" w14:paraId="6CC0C832" w14:textId="77777777">
        <w:tc>
          <w:tcPr>
            <w:tcW w:w="3539" w:type="dxa"/>
            <w:shd w:val="clear" w:color="auto" w:fill="66B0AB"/>
          </w:tcPr>
          <w:p w:rsidRPr="005A2497" w:rsidR="000D2E30" w:rsidP="00843326" w:rsidRDefault="000D2E30" w14:paraId="07FFEE7D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985" w:type="dxa"/>
            <w:shd w:val="clear" w:color="auto" w:fill="66B0AB"/>
          </w:tcPr>
          <w:p w:rsidRPr="005A2497" w:rsidR="000D2E30" w:rsidP="00843326" w:rsidRDefault="000D2E30" w14:paraId="006CE604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Rating</w:t>
            </w:r>
          </w:p>
        </w:tc>
      </w:tr>
      <w:tr w:rsidRPr="005A2497" w:rsidR="000D2E30" w:rsidTr="4A6795BB" w14:paraId="0459CBA5" w14:textId="77777777">
        <w:tc>
          <w:tcPr>
            <w:tcW w:w="3539" w:type="dxa"/>
            <w:shd w:val="clear" w:color="auto" w:fill="66B0AB"/>
          </w:tcPr>
          <w:p w:rsidRPr="005A2497" w:rsidR="000D2E30" w:rsidP="00843326" w:rsidRDefault="000D2E30" w14:paraId="3ACD0E77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Financial Benefits</w:t>
            </w:r>
          </w:p>
        </w:tc>
        <w:tc>
          <w:tcPr>
            <w:tcW w:w="1985" w:type="dxa"/>
          </w:tcPr>
          <w:p w:rsidRPr="005A2497" w:rsidR="000D2E30" w:rsidP="4E2D2630" w:rsidRDefault="4BD295B3" w14:paraId="67B0CA9D" w14:textId="343FB94C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E2D2630">
              <w:rPr>
                <w:rFonts w:ascii="Arial" w:hAnsi="Arial" w:cs="Arial"/>
                <w:i/>
                <w:iCs/>
                <w:sz w:val="20"/>
                <w:szCs w:val="20"/>
              </w:rPr>
              <w:t>£</w:t>
            </w:r>
            <w:r w:rsidRPr="4E2D2630" w:rsidR="2B420F36">
              <w:rPr>
                <w:rFonts w:ascii="Arial" w:hAnsi="Arial" w:cs="Arial"/>
                <w:i/>
                <w:iCs/>
                <w:sz w:val="20"/>
                <w:szCs w:val="20"/>
              </w:rPr>
              <w:t>200,000</w:t>
            </w:r>
          </w:p>
        </w:tc>
      </w:tr>
      <w:tr w:rsidRPr="005A2497" w:rsidR="000D2E30" w:rsidTr="4A6795BB" w14:paraId="2CADB1B3" w14:textId="77777777">
        <w:tc>
          <w:tcPr>
            <w:tcW w:w="3539" w:type="dxa"/>
            <w:shd w:val="clear" w:color="auto" w:fill="66B0AB"/>
          </w:tcPr>
          <w:p w:rsidRPr="005A2497" w:rsidR="000D2E30" w:rsidP="00843326" w:rsidRDefault="005562B4" w14:paraId="03E62DEB" w14:textId="48BEE5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Effort / Easy of Implementation</w:t>
            </w:r>
          </w:p>
        </w:tc>
        <w:tc>
          <w:tcPr>
            <w:tcW w:w="1985" w:type="dxa"/>
          </w:tcPr>
          <w:p w:rsidRPr="005A2497" w:rsidR="000D2E30" w:rsidP="4A6795BB" w:rsidRDefault="6C0124DD" w14:paraId="307C53F5" w14:textId="04F0CC63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A6795BB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</w:tr>
      <w:tr w:rsidRPr="005A2497" w:rsidR="00160958" w:rsidTr="4A6795BB" w14:paraId="05C8E232" w14:textId="77777777">
        <w:tc>
          <w:tcPr>
            <w:tcW w:w="3539" w:type="dxa"/>
            <w:shd w:val="clear" w:color="auto" w:fill="66B0AB"/>
          </w:tcPr>
          <w:p w:rsidRPr="005A2497" w:rsidR="00160958" w:rsidP="00843326" w:rsidRDefault="00160958" w14:paraId="1E86F5BF" w14:textId="16DE1C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Impact (financial and non-financial)</w:t>
            </w:r>
          </w:p>
        </w:tc>
        <w:tc>
          <w:tcPr>
            <w:tcW w:w="1985" w:type="dxa"/>
          </w:tcPr>
          <w:p w:rsidRPr="005A2497" w:rsidR="00160958" w:rsidP="4A6795BB" w:rsidRDefault="2421DA3F" w14:paraId="3A8E726F" w14:textId="20E88099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A6795BB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</w:tr>
    </w:tbl>
    <w:p w:rsidRPr="005A2497" w:rsidR="004A1720" w:rsidP="00843326" w:rsidRDefault="004A1720" w14:paraId="18E6866F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EB0618" w:rsidR="00571824" w:rsidP="00EB0618" w:rsidRDefault="00571824" w14:paraId="5EC007D8" w14:textId="77777777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EB0618">
        <w:rPr>
          <w:rFonts w:ascii="Arial" w:hAnsi="Arial" w:cs="Arial"/>
          <w:b/>
          <w:bCs/>
          <w:color w:val="FFFFFF" w:themeColor="background1"/>
          <w:sz w:val="20"/>
          <w:szCs w:val="20"/>
        </w:rPr>
        <w:t>Financial Delivery</w:t>
      </w:r>
    </w:p>
    <w:p w:rsidRPr="005A2497" w:rsidR="00BC7856" w:rsidP="67034CBC" w:rsidRDefault="2DD519AB" w14:paraId="441FF8F0" w14:textId="78A8C110">
      <w:pPr>
        <w:rPr>
          <w:rFonts w:ascii="Arial" w:hAnsi="Arial" w:eastAsia="Arial" w:cs="Arial"/>
          <w:color w:val="000000" w:themeColor="text1"/>
          <w:sz w:val="20"/>
          <w:szCs w:val="20"/>
        </w:rPr>
      </w:pPr>
      <w:r w:rsidRPr="67034CBC">
        <w:rPr>
          <w:rFonts w:ascii="Arial" w:hAnsi="Arial" w:eastAsia="Arial" w:cs="Arial"/>
          <w:color w:val="000000" w:themeColor="text1"/>
          <w:sz w:val="20"/>
          <w:szCs w:val="20"/>
        </w:rPr>
        <w:t xml:space="preserve">One off Investment required and savings 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1416"/>
        <w:gridCol w:w="1416"/>
        <w:gridCol w:w="1416"/>
        <w:gridCol w:w="1416"/>
        <w:gridCol w:w="1296"/>
      </w:tblGrid>
      <w:tr w:rsidR="67034CBC" w:rsidTr="4E2D2630" w14:paraId="43D6AECB" w14:textId="77777777">
        <w:trPr>
          <w:trHeight w:val="255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54DF38F0" w14:textId="0C762C4C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4E6716B2" w14:textId="384FBAF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23/24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1067105D" w14:textId="0C9AC14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24/25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509BD3FA" w14:textId="036A3743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25/26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3F139F2A" w14:textId="38293719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26/27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0AE1CD12" w14:textId="7DC13C4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67034CBC" w:rsidTr="4E2D2630" w14:paraId="0AC57530" w14:textId="77777777">
        <w:trPr>
          <w:trHeight w:val="255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2CF19260" w14:textId="36E93E8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One-off Investment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67034CBC" w14:paraId="02D38FA1" w14:textId="28B98D02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="00D334E7"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3C01DB1A" w14:textId="0A11697A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4414886E" w14:textId="2613187A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6507A8B5" w14:textId="75671F24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246C3630" w14:textId="18B650E9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</w:tr>
      <w:tr w:rsidR="67034CBC" w:rsidTr="4E2D2630" w14:paraId="1D0403A8" w14:textId="77777777">
        <w:trPr>
          <w:trHeight w:val="270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789E0C5F" w14:textId="50064D70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One-off Savings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446FB16C" w14:textId="40342856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4EF967B3" w14:textId="2BFC3546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3FFA58D5" w14:textId="05948398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765A4C41" w14:textId="2D89046F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6D523F6B" w14:textId="7C7BE239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</w:tr>
    </w:tbl>
    <w:p w:rsidR="4E2D2630" w:rsidP="4E2D2630" w:rsidRDefault="4E2D2630" w14:paraId="0A789E43" w14:textId="31941C30">
      <w:pPr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5A2497" w:rsidR="00BC7856" w:rsidP="67034CBC" w:rsidRDefault="2DD519AB" w14:paraId="1072E25B" w14:textId="465809CD">
      <w:pPr>
        <w:rPr>
          <w:rFonts w:ascii="Arial" w:hAnsi="Arial" w:eastAsia="Arial" w:cs="Arial"/>
          <w:color w:val="000000" w:themeColor="text1"/>
          <w:sz w:val="20"/>
          <w:szCs w:val="20"/>
        </w:rPr>
      </w:pPr>
      <w:r w:rsidRPr="67034CBC">
        <w:rPr>
          <w:rFonts w:ascii="Arial" w:hAnsi="Arial" w:eastAsia="Arial" w:cs="Arial"/>
          <w:color w:val="000000" w:themeColor="text1"/>
          <w:sz w:val="20"/>
          <w:szCs w:val="20"/>
        </w:rPr>
        <w:t xml:space="preserve">Ongoing investments and savings </w:t>
      </w:r>
    </w:p>
    <w:tbl>
      <w:tblPr>
        <w:tblStyle w:val="TableGrid"/>
        <w:tblW w:w="901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1416"/>
        <w:gridCol w:w="1416"/>
        <w:gridCol w:w="1416"/>
        <w:gridCol w:w="1416"/>
        <w:gridCol w:w="1296"/>
      </w:tblGrid>
      <w:tr w:rsidR="67034CBC" w:rsidTr="4E2D2630" w14:paraId="0A22728D" w14:textId="77777777">
        <w:trPr>
          <w:trHeight w:val="255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4C4F84DC" w14:textId="27FF65A5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78D1A598" w14:textId="1E16B053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23/24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499D0AE3" w14:textId="14E695A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24/25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516C005C" w14:textId="73D29DD1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25/26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163CE705" w14:textId="00DB9751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26/27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4DC0FACF" w14:textId="5BE58C44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67034CBC" w:rsidTr="4E2D2630" w14:paraId="258EC3D4" w14:textId="77777777">
        <w:trPr>
          <w:trHeight w:val="255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75746CB0" w14:textId="62E4C8AA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Recurring Investment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67034CBC" w14:paraId="0EF1E2E4" w14:textId="7551B74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="00D334E7"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171163A3" w14:textId="044F7BC6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032A1C38" w14:textId="16C934DD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4A253A80" w14:textId="05B0EECE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60FD0340" w14:textId="1C08AD6D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</w:tr>
      <w:tr w:rsidR="67034CBC" w:rsidTr="4E2D2630" w14:paraId="7E1EB9A3" w14:textId="77777777">
        <w:trPr>
          <w:trHeight w:val="270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7D90D00D" w14:textId="7FC754F3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Recurring Savings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0703A79E" w14:textId="42F63381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565F60A2" w14:paraId="6D17619B" w14:textId="0889AA6A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E2D2630">
              <w:rPr>
                <w:rFonts w:ascii="Arial" w:hAnsi="Arial" w:eastAsia="Arial" w:cs="Arial"/>
                <w:sz w:val="20"/>
                <w:szCs w:val="20"/>
              </w:rPr>
              <w:t>£200,000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23303D04" w14:textId="1F87D8BD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3E570CF6" w14:textId="46F4B43F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7F5BEF5F" w14:paraId="56705D20" w14:textId="438FE23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E2D2630">
              <w:rPr>
                <w:rFonts w:ascii="Arial" w:hAnsi="Arial" w:eastAsia="Arial" w:cs="Arial"/>
                <w:sz w:val="20"/>
                <w:szCs w:val="20"/>
              </w:rPr>
              <w:t>£200,000</w:t>
            </w:r>
          </w:p>
        </w:tc>
      </w:tr>
      <w:tr w:rsidR="67034CBC" w:rsidTr="4E2D2630" w14:paraId="317828D6" w14:textId="77777777">
        <w:trPr>
          <w:trHeight w:val="255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67034CBC" w:rsidP="67034CBC" w:rsidRDefault="67034CBC" w14:paraId="7A964974" w14:textId="7C44B690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Net Savings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53037D7C" w14:textId="6A20BFD0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6077A775" w14:textId="26543BDF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£200,000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4365658E" w14:textId="5C8BA6FA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65E50507" w14:textId="10F6914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7034CBC" w:rsidP="67034CBC" w:rsidRDefault="00D334E7" w14:paraId="61E1DAD7" w14:textId="1DD9B20A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£200,000</w:t>
            </w:r>
          </w:p>
        </w:tc>
      </w:tr>
    </w:tbl>
    <w:p w:rsidR="00EB0618" w:rsidP="00EB0618" w:rsidRDefault="00D334E7" w14:paraId="0B9DAAF7" w14:textId="570BFEB9">
      <w:pPr>
        <w:pStyle w:val="NoSpacing"/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D334E7">
        <w:rPr>
          <w:rFonts w:ascii="Arial" w:hAnsi="Arial" w:cs="Arial"/>
          <w:sz w:val="20"/>
          <w:szCs w:val="20"/>
        </w:rPr>
        <w:t>Note: This savings is categorised as a ‘Budget Saving’</w:t>
      </w:r>
      <w:r w:rsidR="00171035">
        <w:rPr>
          <w:rFonts w:ascii="Arial" w:hAnsi="Arial" w:cs="Arial"/>
          <w:sz w:val="20"/>
          <w:szCs w:val="20"/>
        </w:rPr>
        <w:t>.</w:t>
      </w:r>
    </w:p>
    <w:p w:rsidR="00171035" w:rsidP="00EB0618" w:rsidRDefault="00171035" w14:paraId="088C97E2" w14:textId="77777777">
      <w:pPr>
        <w:pStyle w:val="NoSpacing"/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Pr="00E410C0" w:rsidR="00171035" w:rsidP="00171035" w:rsidRDefault="00171035" w14:paraId="42AB468E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2294614D" w:rsidR="00171035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>Finance’s Validated Figures:</w:t>
      </w:r>
      <w:r w:rsidRPr="2294614D" w:rsidR="00171035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="2108BC1B" w:rsidP="2294614D" w:rsidRDefault="2108BC1B" w14:paraId="03478BDE" w14:textId="18E5882E">
      <w:pPr>
        <w:spacing w:after="0" w:line="240" w:lineRule="auto"/>
        <w:rPr>
          <w:rFonts w:ascii="Arial" w:hAnsi="Arial" w:eastAsia="Arial" w:cs="Arial"/>
          <w:noProof w:val="0"/>
          <w:sz w:val="20"/>
          <w:szCs w:val="20"/>
          <w:lang w:val="en-GB"/>
        </w:rPr>
      </w:pPr>
      <w:r w:rsidRPr="2294614D" w:rsidR="2108BC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Finance have not </w:t>
      </w:r>
      <w:r w:rsidRPr="2294614D" w:rsidR="2108BC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validated</w:t>
      </w:r>
      <w:r w:rsidRPr="2294614D" w:rsidR="2108BC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 figures, resulting in confidence of 0% of the total proposed savings for 24/25 by default.</w:t>
      </w:r>
    </w:p>
    <w:p w:rsidR="2294614D" w:rsidP="2294614D" w:rsidRDefault="2294614D" w14:paraId="4DE77FCB" w14:textId="705FBF17">
      <w:pPr>
        <w:pStyle w:val="Normal"/>
        <w:rPr>
          <w:rFonts w:ascii="Arial" w:hAnsi="Arial" w:eastAsia="Times New Roman" w:cs="Arial"/>
          <w:sz w:val="20"/>
          <w:szCs w:val="20"/>
          <w:lang w:eastAsia="en-GB"/>
        </w:rPr>
      </w:pPr>
    </w:p>
    <w:tbl>
      <w:tblPr>
        <w:tblW w:w="48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1410"/>
        <w:gridCol w:w="1410"/>
      </w:tblGrid>
      <w:tr w:rsidRPr="00E410C0" w:rsidR="00171035" w:rsidTr="2294614D" w14:paraId="5E34EECE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/>
            <w:hideMark/>
          </w:tcPr>
          <w:p w:rsidRPr="00E410C0" w:rsidR="00171035" w:rsidP="006C65C5" w:rsidRDefault="00171035" w14:paraId="0AE4CD8B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/>
            <w:hideMark/>
          </w:tcPr>
          <w:p w:rsidRPr="00E410C0" w:rsidR="00171035" w:rsidP="006C65C5" w:rsidRDefault="00171035" w14:paraId="06AE00C0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23/24</w:t>
            </w:r>
            <w:r w:rsidRPr="00E410C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/>
            <w:hideMark/>
          </w:tcPr>
          <w:p w:rsidRPr="00E410C0" w:rsidR="00171035" w:rsidP="006C65C5" w:rsidRDefault="00171035" w14:paraId="5C5F8284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24/25</w:t>
            </w:r>
            <w:r w:rsidRPr="00E410C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Pr="00E410C0" w:rsidR="00171035" w:rsidTr="2294614D" w14:paraId="546E2A3A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/>
            <w:hideMark/>
          </w:tcPr>
          <w:p w:rsidRPr="00E410C0" w:rsidR="00171035" w:rsidP="006C65C5" w:rsidRDefault="00171035" w14:paraId="2FBA302D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Recurring Investment</w:t>
            </w:r>
            <w:r w:rsidRPr="00E410C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410C0" w:rsidR="00171035" w:rsidP="006C65C5" w:rsidRDefault="00171035" w14:paraId="14D6F1F0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-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410C0" w:rsidR="00171035" w:rsidP="006C65C5" w:rsidRDefault="00171035" w14:paraId="150C3186" w14:textId="131E6DC6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Pr="00E410C0" w:rsidR="00171035" w:rsidTr="2294614D" w14:paraId="602150E7" w14:textId="77777777">
        <w:trPr>
          <w:trHeight w:val="27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/>
            <w:hideMark/>
          </w:tcPr>
          <w:p w:rsidRPr="00E410C0" w:rsidR="00171035" w:rsidP="006C65C5" w:rsidRDefault="00171035" w14:paraId="2156E710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Recurring Savings</w:t>
            </w:r>
            <w:r w:rsidRPr="00E410C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410C0" w:rsidR="00171035" w:rsidP="006C65C5" w:rsidRDefault="00171035" w14:paraId="1DEB0B2F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-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410C0" w:rsidR="00171035" w:rsidP="00171035" w:rsidRDefault="00171035" w14:paraId="5D18D0A8" w14:textId="4A7012E5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2294614D" w:rsidR="00171035">
              <w:rPr>
                <w:rFonts w:ascii="Arial" w:hAnsi="Arial" w:eastAsia="Arial" w:cs="Arial"/>
                <w:sz w:val="20"/>
                <w:szCs w:val="20"/>
              </w:rPr>
              <w:t>£</w:t>
            </w:r>
            <w:r w:rsidRPr="2294614D" w:rsidR="00171035">
              <w:rPr>
                <w:rFonts w:ascii="Arial" w:hAnsi="Arial" w:eastAsia="Arial" w:cs="Arial"/>
                <w:sz w:val="20"/>
                <w:szCs w:val="20"/>
              </w:rPr>
              <w:t>0</w:t>
            </w:r>
          </w:p>
        </w:tc>
      </w:tr>
      <w:tr w:rsidRPr="00E410C0" w:rsidR="00171035" w:rsidTr="2294614D" w14:paraId="39049FA2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/>
            <w:hideMark/>
          </w:tcPr>
          <w:p w:rsidRPr="00E410C0" w:rsidR="00171035" w:rsidP="006C65C5" w:rsidRDefault="00171035" w14:paraId="7929A1AE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Net Savings</w:t>
            </w:r>
            <w:r w:rsidRPr="00E410C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410C0" w:rsidR="00171035" w:rsidP="006C65C5" w:rsidRDefault="00171035" w14:paraId="4D2C8267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E410C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-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410C0" w:rsidR="00171035" w:rsidP="00171035" w:rsidRDefault="00171035" w14:paraId="3F937C5D" w14:textId="683A63B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2294614D" w:rsidR="00171035">
              <w:rPr>
                <w:rFonts w:ascii="Arial" w:hAnsi="Arial" w:eastAsia="Arial" w:cs="Arial"/>
                <w:sz w:val="20"/>
                <w:szCs w:val="20"/>
              </w:rPr>
              <w:t>£</w:t>
            </w:r>
            <w:r w:rsidRPr="2294614D" w:rsidR="00171035">
              <w:rPr>
                <w:rFonts w:ascii="Arial" w:hAnsi="Arial" w:eastAsia="Arial" w:cs="Arial"/>
                <w:sz w:val="20"/>
                <w:szCs w:val="20"/>
              </w:rPr>
              <w:t>0</w:t>
            </w:r>
          </w:p>
        </w:tc>
      </w:tr>
    </w:tbl>
    <w:p w:rsidRPr="00E410C0" w:rsidR="00171035" w:rsidP="00171035" w:rsidRDefault="00171035" w14:paraId="016CE5B8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E410C0">
        <w:rPr>
          <w:rFonts w:ascii="Arial" w:hAnsi="Arial" w:eastAsia="Times New Roman" w:cs="Arial"/>
          <w:sz w:val="20"/>
          <w:szCs w:val="20"/>
          <w:lang w:eastAsia="en-GB"/>
        </w:rPr>
        <w:t>The Transformation Programme and the MTFS may reflect different figures. </w:t>
      </w:r>
    </w:p>
    <w:p w:rsidRPr="00D334E7" w:rsidR="00171035" w:rsidP="00EB0618" w:rsidRDefault="00171035" w14:paraId="11C160CD" w14:textId="77777777">
      <w:pPr>
        <w:pStyle w:val="NoSpacing"/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D334E7" w:rsidP="00EB0618" w:rsidRDefault="00D334E7" w14:paraId="021147BE" w14:textId="77777777">
      <w:pPr>
        <w:pStyle w:val="NoSpacing"/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p w:rsidRPr="00EB0618" w:rsidR="002A1C25" w:rsidP="00EB0618" w:rsidRDefault="002A1C25" w14:paraId="0BE74156" w14:textId="7BFBF2C7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EB0618">
        <w:rPr>
          <w:rFonts w:ascii="Arial" w:hAnsi="Arial" w:cs="Arial"/>
          <w:b/>
          <w:bCs/>
          <w:color w:val="FFFFFF" w:themeColor="background1"/>
          <w:sz w:val="20"/>
          <w:szCs w:val="20"/>
        </w:rPr>
        <w:t>Non-Cashable Benefits</w:t>
      </w:r>
    </w:p>
    <w:p w:rsidRPr="005A2497" w:rsidR="002A1C25" w:rsidP="00843326" w:rsidRDefault="002A1C25" w14:paraId="5591259F" w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5440"/>
        <w:gridCol w:w="1508"/>
      </w:tblGrid>
      <w:tr w:rsidRPr="005A2497" w:rsidR="007C5A82" w:rsidTr="4E2D2630" w14:paraId="46B58774" w14:textId="70A58CDF">
        <w:tc>
          <w:tcPr>
            <w:tcW w:w="2068" w:type="dxa"/>
            <w:shd w:val="clear" w:color="auto" w:fill="66B0AB"/>
          </w:tcPr>
          <w:p w:rsidRPr="005A2497" w:rsidR="007C5A82" w:rsidP="00767D04" w:rsidRDefault="007C5A82" w14:paraId="2AA4FDAD" w14:textId="7C4F8FA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Benefit</w:t>
            </w:r>
          </w:p>
        </w:tc>
        <w:tc>
          <w:tcPr>
            <w:tcW w:w="5440" w:type="dxa"/>
            <w:shd w:val="clear" w:color="auto" w:fill="66B0AB"/>
          </w:tcPr>
          <w:p w:rsidRPr="005A2497" w:rsidR="007C5A82" w:rsidP="00767D04" w:rsidRDefault="007C5A82" w14:paraId="16A4AE0B" w14:textId="137AAD1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08" w:type="dxa"/>
            <w:shd w:val="clear" w:color="auto" w:fill="66B0AB"/>
          </w:tcPr>
          <w:p w:rsidRPr="005A2497" w:rsidR="007C5A82" w:rsidP="00767D04" w:rsidRDefault="005D5CA2" w14:paraId="1A1A28B9" w14:textId="55F7D05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Realisation date</w:t>
            </w:r>
          </w:p>
        </w:tc>
      </w:tr>
      <w:tr w:rsidRPr="005A2497" w:rsidR="007C5A82" w:rsidTr="4E2D2630" w14:paraId="1BA50B45" w14:textId="6855154C">
        <w:tc>
          <w:tcPr>
            <w:tcW w:w="2068" w:type="dxa"/>
            <w:shd w:val="clear" w:color="auto" w:fill="66B0AB"/>
          </w:tcPr>
          <w:p w:rsidRPr="005A2497" w:rsidR="007C5A82" w:rsidP="00767D04" w:rsidRDefault="004143C4" w14:paraId="3D1A5478" w14:textId="0E0B270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Customer Experience</w:t>
            </w:r>
          </w:p>
        </w:tc>
        <w:tc>
          <w:tcPr>
            <w:tcW w:w="5440" w:type="dxa"/>
          </w:tcPr>
          <w:p w:rsidRPr="005A2497" w:rsidR="007C5A82" w:rsidP="00767D04" w:rsidRDefault="04310643" w14:paraId="36274594" w14:textId="2091174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4E2D2630">
              <w:rPr>
                <w:rFonts w:ascii="Arial" w:hAnsi="Arial" w:cs="Arial"/>
                <w:sz w:val="20"/>
                <w:szCs w:val="20"/>
              </w:rPr>
              <w:t>Improved experience when contacting the council in and out of hours</w:t>
            </w:r>
            <w:r w:rsidRPr="4E2D2630" w:rsidR="41C12F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8" w:type="dxa"/>
          </w:tcPr>
          <w:p w:rsidRPr="005A2497" w:rsidR="007C5A82" w:rsidP="00767D04" w:rsidRDefault="00D334E7" w14:paraId="231EEC2A" w14:textId="7B13BA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Pr="005A2497" w:rsidR="007C5A82" w:rsidTr="4E2D2630" w14:paraId="4BDD51CE" w14:textId="77777777">
        <w:tc>
          <w:tcPr>
            <w:tcW w:w="2068" w:type="dxa"/>
            <w:shd w:val="clear" w:color="auto" w:fill="66B0AB"/>
          </w:tcPr>
          <w:p w:rsidRPr="005A2497" w:rsidR="007C5A82" w:rsidP="00767D04" w:rsidRDefault="004143C4" w14:paraId="3A39F61B" w14:textId="797B54D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Employee Experience</w:t>
            </w:r>
          </w:p>
        </w:tc>
        <w:tc>
          <w:tcPr>
            <w:tcW w:w="5440" w:type="dxa"/>
          </w:tcPr>
          <w:p w:rsidRPr="005A2497" w:rsidR="007C5A82" w:rsidP="00767D04" w:rsidRDefault="484142F7" w14:paraId="5CA3454B" w14:textId="4C95A13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4E2D2630">
              <w:rPr>
                <w:rFonts w:ascii="Arial" w:hAnsi="Arial" w:cs="Arial"/>
                <w:sz w:val="20"/>
                <w:szCs w:val="20"/>
              </w:rPr>
              <w:t>Improved visibility of out of hours contacts, a customer culture that enables them to proactively support residents</w:t>
            </w:r>
            <w:r w:rsidRPr="4E2D2630" w:rsidR="56F0D555">
              <w:rPr>
                <w:rFonts w:ascii="Arial" w:hAnsi="Arial" w:cs="Arial"/>
                <w:sz w:val="20"/>
                <w:szCs w:val="20"/>
              </w:rPr>
              <w:t>.</w:t>
            </w:r>
            <w:r w:rsidRPr="4E2D26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</w:tcPr>
          <w:p w:rsidRPr="005A2497" w:rsidR="007C5A82" w:rsidP="00767D04" w:rsidRDefault="00D334E7" w14:paraId="7EA64621" w14:textId="480C26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Pr="005A2497" w:rsidR="007C5A82" w:rsidTr="4E2D2630" w14:paraId="390DCA3B" w14:textId="77777777">
        <w:tc>
          <w:tcPr>
            <w:tcW w:w="2068" w:type="dxa"/>
            <w:shd w:val="clear" w:color="auto" w:fill="66B0AB"/>
          </w:tcPr>
          <w:p w:rsidRPr="005A2497" w:rsidR="007C5A82" w:rsidP="00767D04" w:rsidRDefault="004143C4" w14:paraId="2AF75F10" w14:textId="4E43D31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Productivity</w:t>
            </w:r>
          </w:p>
        </w:tc>
        <w:tc>
          <w:tcPr>
            <w:tcW w:w="5440" w:type="dxa"/>
          </w:tcPr>
          <w:p w:rsidRPr="005A2497" w:rsidR="007C5A82" w:rsidP="00767D04" w:rsidRDefault="00D334E7" w14:paraId="6F06AD4B" w14:textId="1533E5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Pr="005A2497" w:rsidR="007C5A82" w:rsidP="00767D04" w:rsidRDefault="00D334E7" w14:paraId="6E331732" w14:textId="02F863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Pr="005A2497" w:rsidR="00D334E7" w:rsidTr="4E2D2630" w14:paraId="1E92AD23" w14:textId="77777777">
        <w:tc>
          <w:tcPr>
            <w:tcW w:w="2068" w:type="dxa"/>
            <w:shd w:val="clear" w:color="auto" w:fill="66B0AB"/>
          </w:tcPr>
          <w:p w:rsidRPr="005A2497" w:rsidR="00D334E7" w:rsidP="00D334E7" w:rsidRDefault="00D334E7" w14:paraId="6858AAEF" w14:textId="536BC95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</w:p>
        </w:tc>
        <w:tc>
          <w:tcPr>
            <w:tcW w:w="5440" w:type="dxa"/>
          </w:tcPr>
          <w:p w:rsidRPr="005A2497" w:rsidR="00D334E7" w:rsidP="00D334E7" w:rsidRDefault="00D334E7" w14:paraId="2CA2719C" w14:textId="1AA92C5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Pr="005A2497" w:rsidR="00D334E7" w:rsidP="00D334E7" w:rsidRDefault="00D334E7" w14:paraId="6EED3EE4" w14:textId="6717D4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Pr="005A2497" w:rsidR="00D334E7" w:rsidTr="4E2D2630" w14:paraId="1C510A8A" w14:textId="3BE7C0F4">
        <w:tc>
          <w:tcPr>
            <w:tcW w:w="2068" w:type="dxa"/>
            <w:shd w:val="clear" w:color="auto" w:fill="66B0AB"/>
          </w:tcPr>
          <w:p w:rsidRPr="005A2497" w:rsidR="00D334E7" w:rsidP="00D334E7" w:rsidRDefault="00D334E7" w14:paraId="25AE1B01" w14:textId="54EC7FB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Economic</w:t>
            </w:r>
          </w:p>
        </w:tc>
        <w:tc>
          <w:tcPr>
            <w:tcW w:w="5440" w:type="dxa"/>
          </w:tcPr>
          <w:p w:rsidRPr="005A2497" w:rsidR="00D334E7" w:rsidP="00D334E7" w:rsidRDefault="00D334E7" w14:paraId="234EAD09" w14:textId="1060AE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Pr="005A2497" w:rsidR="00D334E7" w:rsidP="00D334E7" w:rsidRDefault="00D334E7" w14:paraId="44E2241C" w14:textId="681097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Pr="005A2497" w:rsidR="00D334E7" w:rsidTr="4E2D2630" w14:paraId="3B09C3E4" w14:textId="0ED286C5">
        <w:tc>
          <w:tcPr>
            <w:tcW w:w="2068" w:type="dxa"/>
            <w:shd w:val="clear" w:color="auto" w:fill="66B0AB"/>
          </w:tcPr>
          <w:p w:rsidRPr="005A2497" w:rsidR="00D334E7" w:rsidP="00D334E7" w:rsidRDefault="00D334E7" w14:paraId="6C0E028F" w14:textId="06E04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Environmental</w:t>
            </w:r>
          </w:p>
        </w:tc>
        <w:tc>
          <w:tcPr>
            <w:tcW w:w="5440" w:type="dxa"/>
          </w:tcPr>
          <w:p w:rsidRPr="005A2497" w:rsidR="00D334E7" w:rsidP="00D334E7" w:rsidRDefault="00D334E7" w14:paraId="70850B27" w14:textId="35377F2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Pr="005A2497" w:rsidR="00D334E7" w:rsidP="00D334E7" w:rsidRDefault="00D334E7" w14:paraId="3D88F7C0" w14:textId="2D16B6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Pr="005A2497" w:rsidR="007C5A82" w:rsidP="00843326" w:rsidRDefault="007C5A82" w14:paraId="7FF01DC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EB0618" w:rsidR="00571824" w:rsidP="00EB0618" w:rsidRDefault="009E688F" w14:paraId="774BB015" w14:textId="246B2C75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EB0618">
        <w:rPr>
          <w:rFonts w:ascii="Arial" w:hAnsi="Arial" w:cs="Arial"/>
          <w:b/>
          <w:bCs/>
          <w:color w:val="FFFFFF" w:themeColor="background1"/>
          <w:sz w:val="20"/>
          <w:szCs w:val="20"/>
        </w:rPr>
        <w:t>R</w:t>
      </w:r>
      <w:r w:rsidRPr="00EB0618" w:rsidR="00571824">
        <w:rPr>
          <w:rFonts w:ascii="Arial" w:hAnsi="Arial" w:cs="Arial"/>
          <w:b/>
          <w:bCs/>
          <w:color w:val="FFFFFF" w:themeColor="background1"/>
          <w:sz w:val="20"/>
          <w:szCs w:val="20"/>
        </w:rPr>
        <w:t>esources</w:t>
      </w:r>
      <w:r w:rsidRPr="00EB0618" w:rsidR="00B6512A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and Stakeholders</w:t>
      </w:r>
    </w:p>
    <w:p w:rsidRPr="005A2497" w:rsidR="002A1C25" w:rsidP="00843326" w:rsidRDefault="003D2D72" w14:paraId="6C869535" w14:textId="3CD7FD3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summarises the team, and wider stakeholders involved in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Pr="005A2497" w:rsidR="00843326" w:rsidTr="2E32F7DF" w14:paraId="7A4406D2" w14:textId="0DCC980B">
        <w:tc>
          <w:tcPr>
            <w:tcW w:w="2122" w:type="dxa"/>
            <w:shd w:val="clear" w:color="auto" w:fill="66B0AB"/>
          </w:tcPr>
          <w:p w:rsidRPr="005A2497" w:rsidR="00843326" w:rsidP="00843326" w:rsidRDefault="00843326" w14:paraId="2F950D55" w14:textId="231E582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Direct Team</w:t>
            </w:r>
          </w:p>
        </w:tc>
        <w:tc>
          <w:tcPr>
            <w:tcW w:w="6894" w:type="dxa"/>
          </w:tcPr>
          <w:p w:rsidRPr="005A2497" w:rsidR="00843326" w:rsidP="00843326" w:rsidRDefault="2BB2633A" w14:paraId="7CF1900B" w14:textId="0800268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Human Engine, LBC Transformation Team </w:t>
            </w:r>
          </w:p>
        </w:tc>
      </w:tr>
      <w:tr w:rsidRPr="005A2497" w:rsidR="00843326" w:rsidTr="2E32F7DF" w14:paraId="7EE07A1F" w14:textId="549F86FB">
        <w:tc>
          <w:tcPr>
            <w:tcW w:w="2122" w:type="dxa"/>
            <w:shd w:val="clear" w:color="auto" w:fill="66B0AB"/>
          </w:tcPr>
          <w:p w:rsidRPr="005A2497" w:rsidR="00843326" w:rsidP="00843326" w:rsidRDefault="00843326" w14:paraId="597F2CA4" w14:textId="54198F9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Stakeholders – Governance and Decision Making</w:t>
            </w:r>
          </w:p>
        </w:tc>
        <w:tc>
          <w:tcPr>
            <w:tcW w:w="6894" w:type="dxa"/>
          </w:tcPr>
          <w:p w:rsidRPr="005A2497" w:rsidR="00843326" w:rsidP="2E32F7DF" w:rsidRDefault="3218F99E" w14:paraId="62A376BD" w14:textId="7F3CB3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Housing, Environment and Social Care </w:t>
            </w:r>
          </w:p>
          <w:p w:rsidRPr="005A2497" w:rsidR="00843326" w:rsidP="00843326" w:rsidRDefault="00843326" w14:paraId="070A2F84" w14:textId="518D582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A2497" w:rsidR="00843326" w:rsidTr="2E32F7DF" w14:paraId="39C051C0" w14:textId="7FFA811A">
        <w:tc>
          <w:tcPr>
            <w:tcW w:w="2122" w:type="dxa"/>
            <w:shd w:val="clear" w:color="auto" w:fill="66B0AB"/>
          </w:tcPr>
          <w:p w:rsidRPr="005A2497" w:rsidR="00843326" w:rsidP="00843326" w:rsidRDefault="00843326" w14:paraId="7F0B1DDA" w14:textId="3379440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Stakeholders – Customers / Beneficiaries</w:t>
            </w:r>
          </w:p>
        </w:tc>
        <w:tc>
          <w:tcPr>
            <w:tcW w:w="6894" w:type="dxa"/>
          </w:tcPr>
          <w:p w:rsidRPr="005A2497" w:rsidR="00843326" w:rsidP="00843326" w:rsidRDefault="00D334E7" w14:paraId="4837BA41" w14:textId="1BF646F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Residents</w:t>
            </w:r>
          </w:p>
        </w:tc>
      </w:tr>
      <w:tr w:rsidRPr="005A2497" w:rsidR="00843326" w:rsidTr="2E32F7DF" w14:paraId="26CB3A8B" w14:textId="030B0C07">
        <w:tc>
          <w:tcPr>
            <w:tcW w:w="2122" w:type="dxa"/>
            <w:shd w:val="clear" w:color="auto" w:fill="66B0AB"/>
          </w:tcPr>
          <w:p w:rsidRPr="005A2497" w:rsidR="00843326" w:rsidP="00843326" w:rsidRDefault="00843326" w14:paraId="3E88F27B" w14:textId="7E66EFA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Stakeholders – Providers / Delivery Teams / Partners</w:t>
            </w:r>
          </w:p>
        </w:tc>
        <w:tc>
          <w:tcPr>
            <w:tcW w:w="6894" w:type="dxa"/>
          </w:tcPr>
          <w:p w:rsidRPr="005A2497" w:rsidR="00843326" w:rsidP="00843326" w:rsidRDefault="00F1592E" w14:paraId="59D9192C" w14:textId="63FAF2B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Housing, Environment and Social Care </w:t>
            </w:r>
          </w:p>
        </w:tc>
      </w:tr>
    </w:tbl>
    <w:p w:rsidRPr="005A2497" w:rsidR="007F32C3" w:rsidP="00843326" w:rsidRDefault="007F32C3" w14:paraId="69F0AB4B" w14:textId="31A188E6">
      <w:pPr>
        <w:pStyle w:val="NoSpacing"/>
        <w:rPr>
          <w:rFonts w:ascii="Arial" w:hAnsi="Arial" w:cs="Arial"/>
          <w:sz w:val="20"/>
          <w:szCs w:val="20"/>
        </w:rPr>
      </w:pPr>
    </w:p>
    <w:p w:rsidRPr="00EB0618" w:rsidR="00531020" w:rsidP="00EB0618" w:rsidRDefault="00531020" w14:paraId="50E841B3" w14:textId="77777777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EB0618">
        <w:rPr>
          <w:rFonts w:ascii="Arial" w:hAnsi="Arial" w:cs="Arial"/>
          <w:b/>
          <w:bCs/>
          <w:color w:val="FFFFFF" w:themeColor="background1"/>
          <w:sz w:val="20"/>
          <w:szCs w:val="20"/>
        </w:rPr>
        <w:t>Risks</w:t>
      </w:r>
    </w:p>
    <w:p w:rsidRPr="005A2497" w:rsidR="00531020" w:rsidP="00843326" w:rsidRDefault="00531020" w14:paraId="792D479E" w14:textId="77777777">
      <w:pPr>
        <w:pStyle w:val="NoSpacing"/>
        <w:rPr>
          <w:rFonts w:ascii="Arial" w:hAnsi="Arial" w:cs="Arial"/>
          <w:sz w:val="20"/>
          <w:szCs w:val="20"/>
        </w:rPr>
      </w:pPr>
      <w:r w:rsidRPr="005A2497">
        <w:rPr>
          <w:rFonts w:ascii="Arial" w:hAnsi="Arial" w:cs="Arial"/>
          <w:sz w:val="20"/>
          <w:szCs w:val="20"/>
        </w:rPr>
        <w:t>The following top risks should be considered for this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2299"/>
        <w:gridCol w:w="1246"/>
        <w:gridCol w:w="1276"/>
        <w:gridCol w:w="1275"/>
        <w:gridCol w:w="2217"/>
      </w:tblGrid>
      <w:tr w:rsidRPr="005A2497" w:rsidR="00531020" w:rsidTr="2E32F7DF" w14:paraId="6A7E6517" w14:textId="77777777">
        <w:trPr>
          <w:trHeight w:val="120"/>
        </w:trPr>
        <w:tc>
          <w:tcPr>
            <w:tcW w:w="703" w:type="dxa"/>
            <w:shd w:val="clear" w:color="auto" w:fill="66B0AB"/>
          </w:tcPr>
          <w:p w:rsidRPr="005A2497" w:rsidR="00531020" w:rsidP="00843326" w:rsidRDefault="00531020" w14:paraId="59215F33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299" w:type="dxa"/>
            <w:shd w:val="clear" w:color="auto" w:fill="66B0AB"/>
          </w:tcPr>
          <w:p w:rsidRPr="005A2497" w:rsidR="00531020" w:rsidP="00843326" w:rsidRDefault="00531020" w14:paraId="704E0975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</w:tc>
        <w:tc>
          <w:tcPr>
            <w:tcW w:w="1246" w:type="dxa"/>
            <w:shd w:val="clear" w:color="auto" w:fill="66B0AB"/>
          </w:tcPr>
          <w:p w:rsidRPr="005A2497" w:rsidR="00531020" w:rsidP="00843326" w:rsidRDefault="00531020" w14:paraId="7CCDB6DA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1276" w:type="dxa"/>
            <w:shd w:val="clear" w:color="auto" w:fill="66B0AB"/>
          </w:tcPr>
          <w:p w:rsidRPr="005A2497" w:rsidR="00531020" w:rsidP="00843326" w:rsidRDefault="00531020" w14:paraId="7AECB204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</w:p>
        </w:tc>
        <w:tc>
          <w:tcPr>
            <w:tcW w:w="1275" w:type="dxa"/>
            <w:shd w:val="clear" w:color="auto" w:fill="66B0AB"/>
          </w:tcPr>
          <w:p w:rsidRPr="005A2497" w:rsidR="00531020" w:rsidP="00843326" w:rsidRDefault="00531020" w14:paraId="65764826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17" w:type="dxa"/>
            <w:shd w:val="clear" w:color="auto" w:fill="66B0AB"/>
          </w:tcPr>
          <w:p w:rsidRPr="005A2497" w:rsidR="00531020" w:rsidP="00843326" w:rsidRDefault="00531020" w14:paraId="05BACE06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Mitigations</w:t>
            </w:r>
          </w:p>
        </w:tc>
      </w:tr>
      <w:tr w:rsidRPr="005A2497" w:rsidR="00531020" w:rsidTr="2E32F7DF" w14:paraId="7F21F007" w14:textId="77777777">
        <w:trPr>
          <w:trHeight w:val="300"/>
        </w:trPr>
        <w:tc>
          <w:tcPr>
            <w:tcW w:w="703" w:type="dxa"/>
          </w:tcPr>
          <w:p w:rsidRPr="005A2497" w:rsidR="00531020" w:rsidP="00843326" w:rsidRDefault="00531020" w14:paraId="0DF903F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9" w:type="dxa"/>
          </w:tcPr>
          <w:p w:rsidRPr="005A2497" w:rsidR="00531020" w:rsidP="2E32F7DF" w:rsidRDefault="0F721205" w14:paraId="2518ED33" w14:textId="31587B0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E32F7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There is a risk </w:t>
            </w:r>
            <w:r w:rsidRPr="2E32F7DF" w:rsidR="34CF2F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that an outsourced provider will not provide the local service that is unique to Luton </w:t>
            </w:r>
          </w:p>
        </w:tc>
        <w:tc>
          <w:tcPr>
            <w:tcW w:w="1246" w:type="dxa"/>
            <w:vAlign w:val="center"/>
          </w:tcPr>
          <w:p w:rsidRPr="005A2497" w:rsidR="00531020" w:rsidP="2E32F7DF" w:rsidRDefault="34CF2F3B" w14:paraId="48507D4B" w14:textId="3587320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E32F7DF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Pr="005A2497" w:rsidR="00531020" w:rsidP="2E32F7DF" w:rsidRDefault="34CF2F3B" w14:paraId="52E36FD3" w14:textId="1977305D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E32F7DF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Pr="005A2497" w:rsidR="00531020" w:rsidP="00843326" w:rsidRDefault="00531020" w14:paraId="7A45D9B9" w14:textId="7777777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2497"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217" w:type="dxa"/>
          </w:tcPr>
          <w:p w:rsidRPr="005A2497" w:rsidR="00501FC7" w:rsidP="2E32F7DF" w:rsidRDefault="206A9C7A" w14:paraId="64BE99DF" w14:textId="6865BD8D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E32F7DF">
              <w:rPr>
                <w:rFonts w:ascii="Arial" w:hAnsi="Arial" w:cs="Arial"/>
                <w:i/>
                <w:iCs/>
                <w:sz w:val="20"/>
                <w:szCs w:val="20"/>
              </w:rPr>
              <w:t>Ensure any specification incorporate the need for local knowledge and account management and training is given to supplier</w:t>
            </w:r>
          </w:p>
        </w:tc>
      </w:tr>
    </w:tbl>
    <w:p w:rsidRPr="005A2497" w:rsidR="00531020" w:rsidP="00843326" w:rsidRDefault="00531020" w14:paraId="1454DC5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EB0618" w:rsidR="00EE5F00" w:rsidP="00EB0618" w:rsidRDefault="00EE5F00" w14:paraId="19D6DC78" w14:textId="77777777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EB0618">
        <w:rPr>
          <w:rFonts w:ascii="Arial" w:hAnsi="Arial" w:cs="Arial"/>
          <w:b/>
          <w:bCs/>
          <w:color w:val="FFFFFF" w:themeColor="background1"/>
          <w:sz w:val="20"/>
          <w:szCs w:val="20"/>
        </w:rPr>
        <w:t>Critical dependencies, constraints, assumptions</w:t>
      </w:r>
    </w:p>
    <w:p w:rsidRPr="005A2497" w:rsidR="00EE5F00" w:rsidP="00897E70" w:rsidRDefault="30330823" w14:paraId="2D3C8C60" w14:textId="2D3D668A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40685EDA">
        <w:rPr>
          <w:rFonts w:ascii="Arial" w:hAnsi="Arial" w:cs="Arial"/>
          <w:sz w:val="20"/>
          <w:szCs w:val="20"/>
        </w:rPr>
        <w:t xml:space="preserve">There is a dependency </w:t>
      </w:r>
      <w:r w:rsidRPr="40685EDA" w:rsidR="30F61178">
        <w:rPr>
          <w:rFonts w:ascii="Arial" w:hAnsi="Arial" w:cs="Arial"/>
          <w:sz w:val="20"/>
          <w:szCs w:val="20"/>
        </w:rPr>
        <w:t xml:space="preserve">on current contracts and a provider that will meet the specification </w:t>
      </w:r>
      <w:r w:rsidRPr="40685EDA" w:rsidR="55C5DBA2">
        <w:rPr>
          <w:rFonts w:ascii="Arial" w:hAnsi="Arial" w:cs="Arial"/>
          <w:sz w:val="20"/>
          <w:szCs w:val="20"/>
        </w:rPr>
        <w:t>to work across multiple services</w:t>
      </w:r>
      <w:r w:rsidRPr="40685EDA" w:rsidR="3E3C6C47">
        <w:rPr>
          <w:rFonts w:ascii="Arial" w:hAnsi="Arial" w:cs="Arial"/>
          <w:sz w:val="20"/>
          <w:szCs w:val="20"/>
        </w:rPr>
        <w:t>.</w:t>
      </w:r>
    </w:p>
    <w:p w:rsidRPr="005A2497" w:rsidR="00897E70" w:rsidP="2E32F7DF" w:rsidRDefault="00897E70" w14:paraId="0C95A7EF" w14:textId="5A07200E">
      <w:pPr>
        <w:pStyle w:val="NoSpacing"/>
        <w:rPr>
          <w:rFonts w:ascii="Arial" w:hAnsi="Arial" w:cs="Arial"/>
          <w:sz w:val="20"/>
          <w:szCs w:val="20"/>
        </w:rPr>
      </w:pPr>
    </w:p>
    <w:p w:rsidRPr="005A2497" w:rsidR="00EE5F00" w:rsidP="00843326" w:rsidRDefault="00EE5F00" w14:paraId="25D8EFD5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EB0618" w:rsidR="004A1720" w:rsidP="00EB0618" w:rsidRDefault="004A1720" w14:paraId="2BFBC9EF" w14:textId="77777777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EB0618">
        <w:rPr>
          <w:rFonts w:ascii="Arial" w:hAnsi="Arial" w:cs="Arial"/>
          <w:b/>
          <w:bCs/>
          <w:color w:val="FFFFFF" w:themeColor="background1"/>
          <w:sz w:val="20"/>
          <w:szCs w:val="20"/>
        </w:rPr>
        <w:t>Timetable – Key Activities and Milestones</w:t>
      </w:r>
    </w:p>
    <w:p w:rsidRPr="005A2497" w:rsidR="00BB0769" w:rsidP="00843326" w:rsidRDefault="00BB0769" w14:paraId="16823150" w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70" w:type="dxa"/>
        <w:tblLook w:val="04A0" w:firstRow="1" w:lastRow="0" w:firstColumn="1" w:lastColumn="0" w:noHBand="0" w:noVBand="1"/>
      </w:tblPr>
      <w:tblGrid>
        <w:gridCol w:w="5709"/>
        <w:gridCol w:w="1561"/>
      </w:tblGrid>
      <w:tr w:rsidRPr="005A2497" w:rsidR="00226C0C" w:rsidTr="2E32F7DF" w14:paraId="05CA3A73" w14:textId="77777777">
        <w:trPr>
          <w:trHeight w:val="236"/>
        </w:trPr>
        <w:tc>
          <w:tcPr>
            <w:tcW w:w="5709" w:type="dxa"/>
            <w:shd w:val="clear" w:color="auto" w:fill="66B0AB"/>
          </w:tcPr>
          <w:p w:rsidRPr="005A2497" w:rsidR="00226C0C" w:rsidP="00767D04" w:rsidRDefault="00226C0C" w14:paraId="6EA144F5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Stage / Gate target milestones</w:t>
            </w:r>
          </w:p>
        </w:tc>
        <w:tc>
          <w:tcPr>
            <w:tcW w:w="1561" w:type="dxa"/>
            <w:shd w:val="clear" w:color="auto" w:fill="66B0AB"/>
          </w:tcPr>
          <w:p w:rsidRPr="005A2497" w:rsidR="00226C0C" w:rsidP="00767D04" w:rsidRDefault="0097559A" w14:paraId="3BDF6FA1" w14:textId="35686B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5A2497" w:rsidR="00226C0C">
              <w:rPr>
                <w:rFonts w:ascii="Arial" w:hAnsi="Arial" w:cs="Arial"/>
                <w:b/>
                <w:bCs/>
                <w:sz w:val="20"/>
                <w:szCs w:val="20"/>
              </w:rPr>
              <w:t>Target</w:t>
            </w: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5A2497" w:rsidR="00226C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</w:t>
            </w:r>
          </w:p>
        </w:tc>
      </w:tr>
      <w:tr w:rsidRPr="005A2497" w:rsidR="00226C0C" w:rsidTr="2E32F7DF" w14:paraId="0FA28E79" w14:textId="77777777">
        <w:trPr>
          <w:trHeight w:val="236"/>
        </w:trPr>
        <w:tc>
          <w:tcPr>
            <w:tcW w:w="5709" w:type="dxa"/>
            <w:vAlign w:val="bottom"/>
          </w:tcPr>
          <w:p w:rsidRPr="005A2497" w:rsidR="00226C0C" w:rsidP="00767D04" w:rsidRDefault="00226C0C" w14:paraId="6DC63B4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Gate 0: Decision: Progress Opportunity</w:t>
            </w:r>
          </w:p>
        </w:tc>
        <w:tc>
          <w:tcPr>
            <w:tcW w:w="1561" w:type="dxa"/>
          </w:tcPr>
          <w:p w:rsidRPr="005A2497" w:rsidR="00226C0C" w:rsidP="00767D04" w:rsidRDefault="212D20A0" w14:paraId="68DD5F6C" w14:textId="5B64AC27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Oct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23 </w:t>
            </w:r>
          </w:p>
        </w:tc>
      </w:tr>
      <w:tr w:rsidRPr="005A2497" w:rsidR="00226C0C" w:rsidTr="2E32F7DF" w14:paraId="10F92B32" w14:textId="77777777">
        <w:trPr>
          <w:trHeight w:val="236"/>
        </w:trPr>
        <w:tc>
          <w:tcPr>
            <w:tcW w:w="5709" w:type="dxa"/>
            <w:vAlign w:val="bottom"/>
          </w:tcPr>
          <w:p w:rsidRPr="005A2497" w:rsidR="00226C0C" w:rsidP="00767D04" w:rsidRDefault="00226C0C" w14:paraId="725F3B0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Gate 1: Decision: Outline Business Case</w:t>
            </w:r>
          </w:p>
        </w:tc>
        <w:tc>
          <w:tcPr>
            <w:tcW w:w="1561" w:type="dxa"/>
          </w:tcPr>
          <w:p w:rsidRPr="005A2497" w:rsidR="00226C0C" w:rsidP="00767D04" w:rsidRDefault="6C1B0077" w14:paraId="4A67F39A" w14:textId="23F10A5F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23 </w:t>
            </w:r>
          </w:p>
        </w:tc>
      </w:tr>
      <w:tr w:rsidRPr="005A2497" w:rsidR="0097559A" w:rsidTr="2E32F7DF" w14:paraId="23CB3193" w14:textId="77777777">
        <w:trPr>
          <w:trHeight w:val="236"/>
        </w:trPr>
        <w:tc>
          <w:tcPr>
            <w:tcW w:w="5709" w:type="dxa"/>
            <w:vAlign w:val="bottom"/>
          </w:tcPr>
          <w:p w:rsidRPr="005A2497" w:rsidR="0097559A" w:rsidP="0097559A" w:rsidRDefault="0097559A" w14:paraId="41FAE53F" w14:textId="3C3EC826">
            <w:pPr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Gate 2: Decision: Full Business Case</w:t>
            </w:r>
          </w:p>
        </w:tc>
        <w:tc>
          <w:tcPr>
            <w:tcW w:w="1561" w:type="dxa"/>
          </w:tcPr>
          <w:p w:rsidRPr="005A2497" w:rsidR="0097559A" w:rsidP="0097559A" w:rsidRDefault="590CB4AD" w14:paraId="513971AF" w14:textId="1688838B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Mar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Pr="005A2497" w:rsidR="0097559A" w:rsidTr="2E32F7DF" w14:paraId="5D196C1A" w14:textId="77777777">
        <w:trPr>
          <w:trHeight w:val="236"/>
        </w:trPr>
        <w:tc>
          <w:tcPr>
            <w:tcW w:w="5709" w:type="dxa"/>
            <w:vAlign w:val="bottom"/>
          </w:tcPr>
          <w:p w:rsidRPr="005A2497" w:rsidR="0097559A" w:rsidP="0097559A" w:rsidRDefault="0097559A" w14:paraId="45399690" w14:textId="407B1F73">
            <w:pPr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Gate 3: Decision: Investment Decision</w:t>
            </w:r>
          </w:p>
        </w:tc>
        <w:tc>
          <w:tcPr>
            <w:tcW w:w="1561" w:type="dxa"/>
          </w:tcPr>
          <w:p w:rsidRPr="005A2497" w:rsidR="0097559A" w:rsidP="0097559A" w:rsidRDefault="2DF69A15" w14:paraId="4D51FB10" w14:textId="262AD552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Apr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Pr="005A2497" w:rsidR="0097559A" w:rsidTr="2E32F7DF" w14:paraId="1DA135F8" w14:textId="77777777">
        <w:trPr>
          <w:trHeight w:val="236"/>
        </w:trPr>
        <w:tc>
          <w:tcPr>
            <w:tcW w:w="5709" w:type="dxa"/>
            <w:vAlign w:val="bottom"/>
          </w:tcPr>
          <w:p w:rsidRPr="005A2497" w:rsidR="0097559A" w:rsidP="0097559A" w:rsidRDefault="0097559A" w14:paraId="335512BD" w14:textId="0DE0725A">
            <w:pPr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Gate 4: Decision: Go-Live / Handover to BAU</w:t>
            </w:r>
          </w:p>
        </w:tc>
        <w:tc>
          <w:tcPr>
            <w:tcW w:w="1561" w:type="dxa"/>
          </w:tcPr>
          <w:p w:rsidRPr="005A2497" w:rsidR="0097559A" w:rsidP="0097559A" w:rsidRDefault="58FC684B" w14:paraId="61BCA8B6" w14:textId="300A69C8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Sep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Pr="005A2497" w:rsidR="0097559A" w:rsidTr="2E32F7DF" w14:paraId="2538014E" w14:textId="77777777">
        <w:trPr>
          <w:trHeight w:val="236"/>
        </w:trPr>
        <w:tc>
          <w:tcPr>
            <w:tcW w:w="5709" w:type="dxa"/>
            <w:vAlign w:val="bottom"/>
          </w:tcPr>
          <w:p w:rsidRPr="005A2497" w:rsidR="0097559A" w:rsidP="0097559A" w:rsidRDefault="0097559A" w14:paraId="4CA03B7E" w14:textId="3A21C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Gate 5: Decision: Benefits Review Complete</w:t>
            </w:r>
          </w:p>
        </w:tc>
        <w:tc>
          <w:tcPr>
            <w:tcW w:w="1561" w:type="dxa"/>
          </w:tcPr>
          <w:p w:rsidRPr="005A2497" w:rsidR="0097559A" w:rsidP="0097559A" w:rsidRDefault="5652354F" w14:paraId="3A1726CB" w14:textId="1385D512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</w:tbl>
    <w:p w:rsidRPr="005A2497" w:rsidR="00226C0C" w:rsidP="00843326" w:rsidRDefault="00226C0C" w14:paraId="6449647F" w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0" w:type="dxa"/>
        <w:tblLook w:val="04A0" w:firstRow="1" w:lastRow="0" w:firstColumn="1" w:lastColumn="0" w:noHBand="0" w:noVBand="1"/>
      </w:tblPr>
      <w:tblGrid>
        <w:gridCol w:w="5709"/>
        <w:gridCol w:w="1361"/>
        <w:gridCol w:w="2040"/>
      </w:tblGrid>
      <w:tr w:rsidRPr="005A2497" w:rsidR="00C12C17" w:rsidTr="00F26C98" w14:paraId="730A174A" w14:textId="77777777">
        <w:trPr>
          <w:trHeight w:val="236"/>
        </w:trPr>
        <w:tc>
          <w:tcPr>
            <w:tcW w:w="5709" w:type="dxa"/>
            <w:shd w:val="clear" w:color="auto" w:fill="66B0AB"/>
          </w:tcPr>
          <w:p w:rsidRPr="005A2497" w:rsidR="00C12C17" w:rsidP="00767D04" w:rsidRDefault="00C12C17" w14:paraId="4C6B3175" w14:textId="19784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A2497" w:rsidR="002B2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</w:t>
            </w: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Deliverable</w:t>
            </w:r>
          </w:p>
        </w:tc>
        <w:tc>
          <w:tcPr>
            <w:tcW w:w="1361" w:type="dxa"/>
            <w:shd w:val="clear" w:color="auto" w:fill="66B0AB"/>
          </w:tcPr>
          <w:p w:rsidRPr="005A2497" w:rsidR="00C12C17" w:rsidP="00767D04" w:rsidRDefault="00C12C17" w14:paraId="4755466C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2040" w:type="dxa"/>
            <w:shd w:val="clear" w:color="auto" w:fill="66B0AB"/>
          </w:tcPr>
          <w:p w:rsidRPr="005A2497" w:rsidR="00C12C17" w:rsidP="00767D04" w:rsidRDefault="00C12C17" w14:paraId="2D7B6CC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Finish</w:t>
            </w:r>
          </w:p>
        </w:tc>
      </w:tr>
      <w:tr w:rsidRPr="005A2497" w:rsidR="00C12C17" w:rsidTr="00F26C98" w14:paraId="274B5790" w14:textId="77777777">
        <w:trPr>
          <w:trHeight w:val="236"/>
        </w:trPr>
        <w:tc>
          <w:tcPr>
            <w:tcW w:w="5709" w:type="dxa"/>
          </w:tcPr>
          <w:p w:rsidRPr="005A2497" w:rsidR="00C12C17" w:rsidP="00767D04" w:rsidRDefault="6E07A932" w14:paraId="652C66C5" w14:textId="58509D4A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Review all out of hour's contracts, operating models, costs, processes and benefits </w:t>
            </w:r>
          </w:p>
        </w:tc>
        <w:tc>
          <w:tcPr>
            <w:tcW w:w="1361" w:type="dxa"/>
          </w:tcPr>
          <w:p w:rsidRPr="005A2497" w:rsidR="00C12C17" w:rsidP="00767D04" w:rsidRDefault="65B46A13" w14:paraId="736F7B30" w14:textId="4749A8AD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>Dec</w:t>
            </w:r>
            <w:r w:rsidRPr="2E32F7DF" w:rsidR="302C50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 w:rsidR="302C50E3">
              <w:rPr>
                <w:rFonts w:ascii="Arial" w:hAnsi="Arial" w:cs="Arial"/>
                <w:sz w:val="20"/>
                <w:szCs w:val="20"/>
              </w:rPr>
              <w:t xml:space="preserve">23 </w:t>
            </w:r>
          </w:p>
        </w:tc>
        <w:tc>
          <w:tcPr>
            <w:tcW w:w="2040" w:type="dxa"/>
          </w:tcPr>
          <w:p w:rsidRPr="005A2497" w:rsidR="00C12C17" w:rsidP="00767D04" w:rsidRDefault="302C50E3" w14:paraId="16D5E8A9" w14:textId="76730B38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Pr="005A2497" w:rsidR="00C12C17" w:rsidTr="00F26C98" w14:paraId="35CD0290" w14:textId="77777777">
        <w:trPr>
          <w:trHeight w:val="236"/>
        </w:trPr>
        <w:tc>
          <w:tcPr>
            <w:tcW w:w="5709" w:type="dxa"/>
          </w:tcPr>
          <w:p w:rsidRPr="005A2497" w:rsidR="00C12C17" w:rsidP="00767D04" w:rsidRDefault="0F08CA74" w14:paraId="106B03AF" w14:textId="4312F34C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Benchmark other organisations provision </w:t>
            </w:r>
          </w:p>
        </w:tc>
        <w:tc>
          <w:tcPr>
            <w:tcW w:w="1361" w:type="dxa"/>
          </w:tcPr>
          <w:p w:rsidRPr="005A2497" w:rsidR="00C12C17" w:rsidP="00767D04" w:rsidRDefault="2E10D7B1" w14:paraId="74791847" w14:textId="6A6FD3C4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>Dec</w:t>
            </w:r>
            <w:r w:rsidRPr="2E32F7DF" w:rsidR="49FB6E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 w:rsidR="49FB6EE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40" w:type="dxa"/>
          </w:tcPr>
          <w:p w:rsidRPr="005A2497" w:rsidR="00C12C17" w:rsidP="00767D04" w:rsidRDefault="49FB6EE6" w14:paraId="64A55579" w14:textId="7360AC51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Pr="005A2497" w:rsidR="00C12C17" w:rsidTr="00F26C98" w14:paraId="2592A738" w14:textId="77777777">
        <w:trPr>
          <w:trHeight w:val="236"/>
        </w:trPr>
        <w:tc>
          <w:tcPr>
            <w:tcW w:w="5709" w:type="dxa"/>
          </w:tcPr>
          <w:p w:rsidRPr="005A2497" w:rsidR="00C12C17" w:rsidP="00767D04" w:rsidRDefault="0F08CA74" w14:paraId="14E80E9B" w14:textId="667857D4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>Create service specification that includes desired outcomes and KPIs</w:t>
            </w:r>
          </w:p>
        </w:tc>
        <w:tc>
          <w:tcPr>
            <w:tcW w:w="1361" w:type="dxa"/>
          </w:tcPr>
          <w:p w:rsidRPr="005A2497" w:rsidR="00C12C17" w:rsidP="00767D04" w:rsidRDefault="0335C8D6" w14:paraId="2584FDF1" w14:textId="4BED51FA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23 </w:t>
            </w:r>
          </w:p>
        </w:tc>
        <w:tc>
          <w:tcPr>
            <w:tcW w:w="2040" w:type="dxa"/>
          </w:tcPr>
          <w:p w:rsidRPr="005A2497" w:rsidR="00C12C17" w:rsidP="00767D04" w:rsidRDefault="0335C8D6" w14:paraId="7A0ED1C7" w14:textId="05F6AAF5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Feb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Pr="005A2497" w:rsidR="00C12C17" w:rsidTr="00F26C98" w14:paraId="0F4A7B1C" w14:textId="77777777">
        <w:trPr>
          <w:trHeight w:val="236"/>
        </w:trPr>
        <w:tc>
          <w:tcPr>
            <w:tcW w:w="5709" w:type="dxa"/>
          </w:tcPr>
          <w:p w:rsidRPr="005A2497" w:rsidR="00C12C17" w:rsidP="00767D04" w:rsidRDefault="32E28680" w14:paraId="0625E6CA" w14:textId="55A04B9C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Create full business case </w:t>
            </w:r>
          </w:p>
        </w:tc>
        <w:tc>
          <w:tcPr>
            <w:tcW w:w="1361" w:type="dxa"/>
          </w:tcPr>
          <w:p w:rsidRPr="005A2497" w:rsidR="00C12C17" w:rsidP="00767D04" w:rsidRDefault="6C98023B" w14:paraId="771385E2" w14:textId="36EFFCBD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Feb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2040" w:type="dxa"/>
          </w:tcPr>
          <w:p w:rsidRPr="005A2497" w:rsidR="00C12C17" w:rsidP="00767D04" w:rsidRDefault="6C98023B" w14:paraId="43041946" w14:textId="6261D34F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Mar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Pr="005A2497" w:rsidR="00C12C17" w:rsidTr="00F26C98" w14:paraId="2E09CFCA" w14:textId="77777777">
        <w:trPr>
          <w:trHeight w:val="236"/>
        </w:trPr>
        <w:tc>
          <w:tcPr>
            <w:tcW w:w="5709" w:type="dxa"/>
          </w:tcPr>
          <w:p w:rsidRPr="005A2497" w:rsidR="00C12C17" w:rsidP="00767D04" w:rsidRDefault="32E28680" w14:paraId="47C29C5C" w14:textId="1DC7BAA3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Enter procurement process to select supplier </w:t>
            </w:r>
          </w:p>
        </w:tc>
        <w:tc>
          <w:tcPr>
            <w:tcW w:w="1361" w:type="dxa"/>
          </w:tcPr>
          <w:p w:rsidRPr="005A2497" w:rsidR="00C12C17" w:rsidP="00767D04" w:rsidRDefault="6748FBF4" w14:paraId="0FF54992" w14:textId="66BFF312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Apr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2040" w:type="dxa"/>
          </w:tcPr>
          <w:p w:rsidRPr="005A2497" w:rsidR="00C12C17" w:rsidP="00767D04" w:rsidRDefault="6748FBF4" w14:paraId="501418D7" w14:textId="2023B9F1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>Jul</w:t>
            </w:r>
            <w:r w:rsidRPr="2E32F7DF" w:rsidR="7E715B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Pr="005A2497" w:rsidR="00C12C17" w:rsidTr="00F26C98" w14:paraId="12D42A0E" w14:textId="77777777">
        <w:trPr>
          <w:trHeight w:val="236"/>
        </w:trPr>
        <w:tc>
          <w:tcPr>
            <w:tcW w:w="5709" w:type="dxa"/>
          </w:tcPr>
          <w:p w:rsidRPr="005A2497" w:rsidR="00C12C17" w:rsidP="00767D04" w:rsidRDefault="32E28680" w14:paraId="49755080" w14:textId="61268577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Implement New Contract </w:t>
            </w:r>
          </w:p>
        </w:tc>
        <w:tc>
          <w:tcPr>
            <w:tcW w:w="1361" w:type="dxa"/>
          </w:tcPr>
          <w:p w:rsidRPr="005A2497" w:rsidR="00C12C17" w:rsidP="00767D04" w:rsidRDefault="68EED1D2" w14:paraId="349E095B" w14:textId="708EABEC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Jul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2040" w:type="dxa"/>
          </w:tcPr>
          <w:p w:rsidRPr="005A2497" w:rsidR="00C12C17" w:rsidP="00767D04" w:rsidRDefault="27699C8E" w14:paraId="2DD9AD25" w14:textId="7141670A">
            <w:pPr>
              <w:rPr>
                <w:rFonts w:ascii="Arial" w:hAnsi="Arial" w:cs="Arial"/>
                <w:sz w:val="20"/>
                <w:szCs w:val="20"/>
              </w:rPr>
            </w:pPr>
            <w:r w:rsidRPr="2E32F7DF">
              <w:rPr>
                <w:rFonts w:ascii="Arial" w:hAnsi="Arial" w:cs="Arial"/>
                <w:sz w:val="20"/>
                <w:szCs w:val="20"/>
              </w:rPr>
              <w:t xml:space="preserve">Sep </w:t>
            </w:r>
            <w:r w:rsidR="00F17E78">
              <w:rPr>
                <w:rFonts w:ascii="Arial" w:hAnsi="Arial" w:cs="Arial"/>
                <w:sz w:val="20"/>
                <w:szCs w:val="20"/>
              </w:rPr>
              <w:t>20</w:t>
            </w:r>
            <w:r w:rsidRPr="2E32F7D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:rsidRPr="005A2497" w:rsidR="00BE2546" w:rsidP="00843326" w:rsidRDefault="00BE2546" w14:paraId="75EBE6E8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5A2497" w:rsidR="00BE2546" w:rsidP="00843326" w:rsidRDefault="00BE2546" w14:paraId="684CF6C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EB0618" w:rsidR="00BB0769" w:rsidP="00EB0618" w:rsidRDefault="00BB0769" w14:paraId="1BAA9751" w14:textId="0E797FEF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EB0618">
        <w:rPr>
          <w:rFonts w:ascii="Arial" w:hAnsi="Arial" w:cs="Arial"/>
          <w:b/>
          <w:bCs/>
          <w:color w:val="FFFFFF" w:themeColor="background1"/>
          <w:sz w:val="20"/>
          <w:szCs w:val="20"/>
        </w:rPr>
        <w:t>Approvals</w:t>
      </w:r>
      <w:r w:rsidRPr="00EB0618" w:rsidR="00C12C17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of this Savings Delivery Plan</w:t>
      </w:r>
    </w:p>
    <w:p w:rsidRPr="005A2497" w:rsidR="00C12C17" w:rsidP="00843326" w:rsidRDefault="00C12C17" w14:paraId="7F6CB2AB" w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791"/>
      </w:tblGrid>
      <w:tr w:rsidRPr="005A2497" w:rsidR="00BB0769" w:rsidTr="00C12C17" w14:paraId="1D6B993F" w14:textId="77777777">
        <w:tc>
          <w:tcPr>
            <w:tcW w:w="3681" w:type="dxa"/>
            <w:shd w:val="clear" w:color="auto" w:fill="66B0AB"/>
          </w:tcPr>
          <w:p w:rsidRPr="005A2497" w:rsidR="00BB0769" w:rsidP="00843326" w:rsidRDefault="00BB0769" w14:paraId="7A7BBC50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544" w:type="dxa"/>
            <w:shd w:val="clear" w:color="auto" w:fill="66B0AB"/>
          </w:tcPr>
          <w:p w:rsidRPr="005A2497" w:rsidR="00BB0769" w:rsidP="00843326" w:rsidRDefault="00BB0769" w14:paraId="77F44A9C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791" w:type="dxa"/>
            <w:shd w:val="clear" w:color="auto" w:fill="66B0AB"/>
          </w:tcPr>
          <w:p w:rsidRPr="005A2497" w:rsidR="00BB0769" w:rsidP="00843326" w:rsidRDefault="00BB0769" w14:paraId="71DF451F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Date Agreed</w:t>
            </w:r>
          </w:p>
        </w:tc>
      </w:tr>
      <w:tr w:rsidRPr="005A2497" w:rsidR="00BB0769" w:rsidTr="00BB0769" w14:paraId="18525D39" w14:textId="77777777">
        <w:tc>
          <w:tcPr>
            <w:tcW w:w="3681" w:type="dxa"/>
          </w:tcPr>
          <w:p w:rsidRPr="005A2497" w:rsidR="00BB0769" w:rsidP="00843326" w:rsidRDefault="00F1592E" w14:paraId="43E2B76A" w14:textId="18A50D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3544" w:type="dxa"/>
          </w:tcPr>
          <w:p w:rsidRPr="005A2497" w:rsidR="00BB0769" w:rsidP="00843326" w:rsidRDefault="00BB0769" w14:paraId="6BA339D1" w14:textId="7777777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2497">
              <w:rPr>
                <w:rFonts w:ascii="Arial" w:hAnsi="Arial" w:cs="Arial"/>
                <w:i/>
                <w:iCs/>
                <w:sz w:val="20"/>
                <w:szCs w:val="20"/>
              </w:rPr>
              <w:t>Project Sponsor</w:t>
            </w:r>
          </w:p>
        </w:tc>
        <w:tc>
          <w:tcPr>
            <w:tcW w:w="1791" w:type="dxa"/>
          </w:tcPr>
          <w:p w:rsidRPr="005A2497" w:rsidR="00BB0769" w:rsidP="00843326" w:rsidRDefault="00F17E78" w14:paraId="6FEDFEBC" w14:textId="440334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:rsidRPr="005A2497" w:rsidR="00BB0769" w:rsidP="00843326" w:rsidRDefault="00BB0769" w14:paraId="3262A94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5A2497" w:rsidR="00BB0769" w:rsidP="00843326" w:rsidRDefault="00BB0769" w14:paraId="0E04BE80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5A2497" w:rsidR="00BB0769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0BF9" w:rsidP="00843326" w:rsidRDefault="00380BF9" w14:paraId="4620722D" w14:textId="77777777">
      <w:r>
        <w:separator/>
      </w:r>
    </w:p>
  </w:endnote>
  <w:endnote w:type="continuationSeparator" w:id="0">
    <w:p w:rsidR="00380BF9" w:rsidP="00843326" w:rsidRDefault="00380BF9" w14:paraId="69C7CFBB" w14:textId="77777777">
      <w:r>
        <w:continuationSeparator/>
      </w:r>
    </w:p>
  </w:endnote>
  <w:endnote w:type="continuationNotice" w:id="1">
    <w:p w:rsidR="00380BF9" w:rsidRDefault="00380BF9" w14:paraId="0F72A95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0BF9" w:rsidP="00843326" w:rsidRDefault="00380BF9" w14:paraId="100296DD" w14:textId="77777777">
      <w:r>
        <w:separator/>
      </w:r>
    </w:p>
  </w:footnote>
  <w:footnote w:type="continuationSeparator" w:id="0">
    <w:p w:rsidR="00380BF9" w:rsidP="00843326" w:rsidRDefault="00380BF9" w14:paraId="2BCEA6B2" w14:textId="77777777">
      <w:r>
        <w:continuationSeparator/>
      </w:r>
    </w:p>
  </w:footnote>
  <w:footnote w:type="continuationNotice" w:id="1">
    <w:p w:rsidR="00380BF9" w:rsidRDefault="00380BF9" w14:paraId="23F7E40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7540" w:rsidP="00843326" w:rsidRDefault="002A7540" w14:paraId="027AA374" w14:textId="66769662">
    <w:pPr>
      <w:pStyle w:val="Header"/>
    </w:pPr>
  </w:p>
  <w:p w:rsidR="002A7540" w:rsidP="00843326" w:rsidRDefault="002A7540" w14:paraId="495E00F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11D7F"/>
    <w:multiLevelType w:val="hybridMultilevel"/>
    <w:tmpl w:val="A1942E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F77E08"/>
    <w:multiLevelType w:val="hybridMultilevel"/>
    <w:tmpl w:val="BD6685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9A42C6"/>
    <w:multiLevelType w:val="hybridMultilevel"/>
    <w:tmpl w:val="929621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A002FC"/>
    <w:multiLevelType w:val="hybridMultilevel"/>
    <w:tmpl w:val="3BD23D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C9786C"/>
    <w:multiLevelType w:val="hybridMultilevel"/>
    <w:tmpl w:val="6AD4C262"/>
    <w:lvl w:ilvl="0" w:tplc="BBDC5F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8068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E00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A43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7CA7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121A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AD2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EEDA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9E9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DB1483"/>
    <w:multiLevelType w:val="hybridMultilevel"/>
    <w:tmpl w:val="2D66EA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737657"/>
    <w:multiLevelType w:val="hybridMultilevel"/>
    <w:tmpl w:val="070A764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8A52592"/>
    <w:multiLevelType w:val="hybridMultilevel"/>
    <w:tmpl w:val="E91ED0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123573495">
    <w:abstractNumId w:val="4"/>
  </w:num>
  <w:num w:numId="2" w16cid:durableId="231307979">
    <w:abstractNumId w:val="5"/>
  </w:num>
  <w:num w:numId="3" w16cid:durableId="1700355059">
    <w:abstractNumId w:val="6"/>
  </w:num>
  <w:num w:numId="4" w16cid:durableId="830298173">
    <w:abstractNumId w:val="7"/>
  </w:num>
  <w:num w:numId="5" w16cid:durableId="1520394758">
    <w:abstractNumId w:val="0"/>
  </w:num>
  <w:num w:numId="6" w16cid:durableId="965428238">
    <w:abstractNumId w:val="1"/>
  </w:num>
  <w:num w:numId="7" w16cid:durableId="1167281180">
    <w:abstractNumId w:val="2"/>
  </w:num>
  <w:num w:numId="8" w16cid:durableId="1492795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6D"/>
    <w:rsid w:val="000023DF"/>
    <w:rsid w:val="00006FC3"/>
    <w:rsid w:val="000101CA"/>
    <w:rsid w:val="00010703"/>
    <w:rsid w:val="000264B5"/>
    <w:rsid w:val="000336CC"/>
    <w:rsid w:val="000B006E"/>
    <w:rsid w:val="000C4729"/>
    <w:rsid w:val="000D2E30"/>
    <w:rsid w:val="000F05E3"/>
    <w:rsid w:val="00101379"/>
    <w:rsid w:val="00103135"/>
    <w:rsid w:val="00113700"/>
    <w:rsid w:val="0013006C"/>
    <w:rsid w:val="00141014"/>
    <w:rsid w:val="0015113B"/>
    <w:rsid w:val="00160958"/>
    <w:rsid w:val="00171035"/>
    <w:rsid w:val="00215501"/>
    <w:rsid w:val="00226C0C"/>
    <w:rsid w:val="00270F66"/>
    <w:rsid w:val="002A1C25"/>
    <w:rsid w:val="002A7540"/>
    <w:rsid w:val="002B297F"/>
    <w:rsid w:val="002E0176"/>
    <w:rsid w:val="002E4280"/>
    <w:rsid w:val="002F1A54"/>
    <w:rsid w:val="002F3590"/>
    <w:rsid w:val="002F5529"/>
    <w:rsid w:val="00315790"/>
    <w:rsid w:val="003165B3"/>
    <w:rsid w:val="00354C7C"/>
    <w:rsid w:val="00367EBD"/>
    <w:rsid w:val="00380BF9"/>
    <w:rsid w:val="003D2D72"/>
    <w:rsid w:val="00410123"/>
    <w:rsid w:val="004143C4"/>
    <w:rsid w:val="00434F3A"/>
    <w:rsid w:val="00451566"/>
    <w:rsid w:val="00466C98"/>
    <w:rsid w:val="00495901"/>
    <w:rsid w:val="004A1720"/>
    <w:rsid w:val="004D7A9D"/>
    <w:rsid w:val="004F5F9E"/>
    <w:rsid w:val="00501FC7"/>
    <w:rsid w:val="00510991"/>
    <w:rsid w:val="00531020"/>
    <w:rsid w:val="0055459A"/>
    <w:rsid w:val="005562B4"/>
    <w:rsid w:val="005601C2"/>
    <w:rsid w:val="00571824"/>
    <w:rsid w:val="005A2497"/>
    <w:rsid w:val="005D5CA2"/>
    <w:rsid w:val="0061045B"/>
    <w:rsid w:val="006C65C5"/>
    <w:rsid w:val="006D34DD"/>
    <w:rsid w:val="00726474"/>
    <w:rsid w:val="00767D04"/>
    <w:rsid w:val="007B2A29"/>
    <w:rsid w:val="007B43EF"/>
    <w:rsid w:val="007C5A82"/>
    <w:rsid w:val="007C6A50"/>
    <w:rsid w:val="007F32C3"/>
    <w:rsid w:val="00843326"/>
    <w:rsid w:val="008504F9"/>
    <w:rsid w:val="00897E70"/>
    <w:rsid w:val="008E2BFB"/>
    <w:rsid w:val="008F02D8"/>
    <w:rsid w:val="00914F5B"/>
    <w:rsid w:val="00935126"/>
    <w:rsid w:val="00966D97"/>
    <w:rsid w:val="0097559A"/>
    <w:rsid w:val="009E688F"/>
    <w:rsid w:val="00A3756D"/>
    <w:rsid w:val="00A72525"/>
    <w:rsid w:val="00A7540D"/>
    <w:rsid w:val="00AF6FD5"/>
    <w:rsid w:val="00B352C4"/>
    <w:rsid w:val="00B42CDF"/>
    <w:rsid w:val="00B63C3A"/>
    <w:rsid w:val="00B6512A"/>
    <w:rsid w:val="00B713CA"/>
    <w:rsid w:val="00B84B90"/>
    <w:rsid w:val="00B95AB9"/>
    <w:rsid w:val="00BB0769"/>
    <w:rsid w:val="00BC7856"/>
    <w:rsid w:val="00BE2546"/>
    <w:rsid w:val="00BF72E0"/>
    <w:rsid w:val="00C10771"/>
    <w:rsid w:val="00C12C17"/>
    <w:rsid w:val="00C702EB"/>
    <w:rsid w:val="00CF25B6"/>
    <w:rsid w:val="00D00560"/>
    <w:rsid w:val="00D0647E"/>
    <w:rsid w:val="00D2F892"/>
    <w:rsid w:val="00D334E7"/>
    <w:rsid w:val="00D43BC2"/>
    <w:rsid w:val="00D64E6A"/>
    <w:rsid w:val="00D67855"/>
    <w:rsid w:val="00DA6821"/>
    <w:rsid w:val="00DD3FF0"/>
    <w:rsid w:val="00DF6744"/>
    <w:rsid w:val="00E11B80"/>
    <w:rsid w:val="00E14520"/>
    <w:rsid w:val="00E26063"/>
    <w:rsid w:val="00E72F35"/>
    <w:rsid w:val="00E77788"/>
    <w:rsid w:val="00EB0618"/>
    <w:rsid w:val="00EE5F00"/>
    <w:rsid w:val="00F140C7"/>
    <w:rsid w:val="00F1592E"/>
    <w:rsid w:val="00F17E78"/>
    <w:rsid w:val="00F26AC8"/>
    <w:rsid w:val="00F26C98"/>
    <w:rsid w:val="00F34977"/>
    <w:rsid w:val="00F41F5B"/>
    <w:rsid w:val="00F96960"/>
    <w:rsid w:val="00FB0AA2"/>
    <w:rsid w:val="00FD5DC4"/>
    <w:rsid w:val="00FE78DD"/>
    <w:rsid w:val="00FF391C"/>
    <w:rsid w:val="00FF6CFF"/>
    <w:rsid w:val="01A2809F"/>
    <w:rsid w:val="01E1ACFF"/>
    <w:rsid w:val="021E65CE"/>
    <w:rsid w:val="024BB6A4"/>
    <w:rsid w:val="026101B4"/>
    <w:rsid w:val="0278F5C2"/>
    <w:rsid w:val="029E1197"/>
    <w:rsid w:val="02C5C846"/>
    <w:rsid w:val="02D9A610"/>
    <w:rsid w:val="0335C8D6"/>
    <w:rsid w:val="0414C623"/>
    <w:rsid w:val="04310643"/>
    <w:rsid w:val="04659B14"/>
    <w:rsid w:val="04ADA8C6"/>
    <w:rsid w:val="04D038C5"/>
    <w:rsid w:val="0525EF33"/>
    <w:rsid w:val="056F683F"/>
    <w:rsid w:val="057EC908"/>
    <w:rsid w:val="05B5B177"/>
    <w:rsid w:val="06690037"/>
    <w:rsid w:val="06C28F35"/>
    <w:rsid w:val="06CEA8A0"/>
    <w:rsid w:val="07096109"/>
    <w:rsid w:val="070C5419"/>
    <w:rsid w:val="087A7C52"/>
    <w:rsid w:val="08A1CFCB"/>
    <w:rsid w:val="08E83746"/>
    <w:rsid w:val="09C1D091"/>
    <w:rsid w:val="09DBFA39"/>
    <w:rsid w:val="0A318CE7"/>
    <w:rsid w:val="0A999A76"/>
    <w:rsid w:val="0BF5CA6A"/>
    <w:rsid w:val="0C48DC1F"/>
    <w:rsid w:val="0C4EB23F"/>
    <w:rsid w:val="0C8B64F7"/>
    <w:rsid w:val="0CA0F1C4"/>
    <w:rsid w:val="0CF60184"/>
    <w:rsid w:val="0E78094D"/>
    <w:rsid w:val="0EB5369A"/>
    <w:rsid w:val="0EC0378E"/>
    <w:rsid w:val="0F08CA74"/>
    <w:rsid w:val="0F11114F"/>
    <w:rsid w:val="0F721205"/>
    <w:rsid w:val="0F744139"/>
    <w:rsid w:val="0F7DE715"/>
    <w:rsid w:val="0FCBBB82"/>
    <w:rsid w:val="1086BE88"/>
    <w:rsid w:val="114304A2"/>
    <w:rsid w:val="13113504"/>
    <w:rsid w:val="1384C7F0"/>
    <w:rsid w:val="13E8858F"/>
    <w:rsid w:val="13FE2C62"/>
    <w:rsid w:val="1468E4DD"/>
    <w:rsid w:val="1523B6DC"/>
    <w:rsid w:val="15817C66"/>
    <w:rsid w:val="15D3C2C7"/>
    <w:rsid w:val="1604B53E"/>
    <w:rsid w:val="16681285"/>
    <w:rsid w:val="16684A79"/>
    <w:rsid w:val="16C670B9"/>
    <w:rsid w:val="16E0B2DE"/>
    <w:rsid w:val="16E0CEEE"/>
    <w:rsid w:val="16F6B26E"/>
    <w:rsid w:val="181EF949"/>
    <w:rsid w:val="186236EF"/>
    <w:rsid w:val="18D05D3C"/>
    <w:rsid w:val="18D607C4"/>
    <w:rsid w:val="18E88783"/>
    <w:rsid w:val="197FD3F4"/>
    <w:rsid w:val="19FE117B"/>
    <w:rsid w:val="1A28D976"/>
    <w:rsid w:val="1A5EDDD3"/>
    <w:rsid w:val="1AF14EBE"/>
    <w:rsid w:val="1D356B9F"/>
    <w:rsid w:val="1D481F55"/>
    <w:rsid w:val="1DA3CE5F"/>
    <w:rsid w:val="1DC2C1C6"/>
    <w:rsid w:val="1E4AF3BB"/>
    <w:rsid w:val="1EC123D3"/>
    <w:rsid w:val="1FECED26"/>
    <w:rsid w:val="203792B1"/>
    <w:rsid w:val="2062D240"/>
    <w:rsid w:val="206A9C7A"/>
    <w:rsid w:val="206D48D4"/>
    <w:rsid w:val="2108BC1B"/>
    <w:rsid w:val="212D20A0"/>
    <w:rsid w:val="2132FF1C"/>
    <w:rsid w:val="221C9C28"/>
    <w:rsid w:val="2240A039"/>
    <w:rsid w:val="224EF171"/>
    <w:rsid w:val="2294614D"/>
    <w:rsid w:val="22BD0724"/>
    <w:rsid w:val="22D9AD33"/>
    <w:rsid w:val="22E33846"/>
    <w:rsid w:val="22FCC641"/>
    <w:rsid w:val="2305AFE5"/>
    <w:rsid w:val="234BE4E1"/>
    <w:rsid w:val="23DC709A"/>
    <w:rsid w:val="2421DA3F"/>
    <w:rsid w:val="242263E5"/>
    <w:rsid w:val="24534F9B"/>
    <w:rsid w:val="24C6006A"/>
    <w:rsid w:val="25345A7E"/>
    <w:rsid w:val="25B045F0"/>
    <w:rsid w:val="25F7011B"/>
    <w:rsid w:val="261CF5A6"/>
    <w:rsid w:val="26800D36"/>
    <w:rsid w:val="268075D4"/>
    <w:rsid w:val="27699C8E"/>
    <w:rsid w:val="277C3607"/>
    <w:rsid w:val="27DBD849"/>
    <w:rsid w:val="27E225A2"/>
    <w:rsid w:val="27F6E7B8"/>
    <w:rsid w:val="29B90908"/>
    <w:rsid w:val="2A463CBD"/>
    <w:rsid w:val="2B07EE0D"/>
    <w:rsid w:val="2B420F36"/>
    <w:rsid w:val="2BB2633A"/>
    <w:rsid w:val="2BCA6B09"/>
    <w:rsid w:val="2C4F16DE"/>
    <w:rsid w:val="2CBA3B22"/>
    <w:rsid w:val="2DACA788"/>
    <w:rsid w:val="2DD519AB"/>
    <w:rsid w:val="2DF69A15"/>
    <w:rsid w:val="2E10D7B1"/>
    <w:rsid w:val="2E32F7DF"/>
    <w:rsid w:val="2F119E59"/>
    <w:rsid w:val="2F14EDDB"/>
    <w:rsid w:val="2FC0EC38"/>
    <w:rsid w:val="2FC236D3"/>
    <w:rsid w:val="301F9F6C"/>
    <w:rsid w:val="302C50E3"/>
    <w:rsid w:val="30330823"/>
    <w:rsid w:val="30F61178"/>
    <w:rsid w:val="313283A2"/>
    <w:rsid w:val="3218F99E"/>
    <w:rsid w:val="3255F382"/>
    <w:rsid w:val="328270CF"/>
    <w:rsid w:val="32E28680"/>
    <w:rsid w:val="335781C1"/>
    <w:rsid w:val="3371E07C"/>
    <w:rsid w:val="3493A616"/>
    <w:rsid w:val="34CF2F3B"/>
    <w:rsid w:val="34F35222"/>
    <w:rsid w:val="357F0F6E"/>
    <w:rsid w:val="35C879D1"/>
    <w:rsid w:val="36FA9BA8"/>
    <w:rsid w:val="37FD2715"/>
    <w:rsid w:val="383910CC"/>
    <w:rsid w:val="3855ED0A"/>
    <w:rsid w:val="38F61F5D"/>
    <w:rsid w:val="399B2ABC"/>
    <w:rsid w:val="3A02E4A9"/>
    <w:rsid w:val="3C2B05AC"/>
    <w:rsid w:val="3CA0B9DB"/>
    <w:rsid w:val="3D633313"/>
    <w:rsid w:val="3E3C6C47"/>
    <w:rsid w:val="3E3DA968"/>
    <w:rsid w:val="3E4F844B"/>
    <w:rsid w:val="3E763A65"/>
    <w:rsid w:val="3EC978BD"/>
    <w:rsid w:val="3EEA198B"/>
    <w:rsid w:val="3EFF0374"/>
    <w:rsid w:val="3F849C10"/>
    <w:rsid w:val="3FBD89DF"/>
    <w:rsid w:val="40685EDA"/>
    <w:rsid w:val="409A355C"/>
    <w:rsid w:val="409AD3D5"/>
    <w:rsid w:val="40F67BDE"/>
    <w:rsid w:val="40FDA12C"/>
    <w:rsid w:val="41C12F63"/>
    <w:rsid w:val="41F2AE3F"/>
    <w:rsid w:val="4267EDF1"/>
    <w:rsid w:val="427E6AA5"/>
    <w:rsid w:val="42EA7389"/>
    <w:rsid w:val="42FB1C78"/>
    <w:rsid w:val="4312D3EF"/>
    <w:rsid w:val="43285D44"/>
    <w:rsid w:val="44716C9D"/>
    <w:rsid w:val="44776500"/>
    <w:rsid w:val="44AB1E80"/>
    <w:rsid w:val="45F2973B"/>
    <w:rsid w:val="46B3E85B"/>
    <w:rsid w:val="46E6B97D"/>
    <w:rsid w:val="4729A8B8"/>
    <w:rsid w:val="47BDE4AC"/>
    <w:rsid w:val="480793AB"/>
    <w:rsid w:val="484142F7"/>
    <w:rsid w:val="489759E3"/>
    <w:rsid w:val="48997F45"/>
    <w:rsid w:val="48C57919"/>
    <w:rsid w:val="48EF5CEE"/>
    <w:rsid w:val="4957EBF0"/>
    <w:rsid w:val="49A9BB04"/>
    <w:rsid w:val="49B5BD72"/>
    <w:rsid w:val="49FB6EE6"/>
    <w:rsid w:val="4A514FFF"/>
    <w:rsid w:val="4A5A69C5"/>
    <w:rsid w:val="4A66966F"/>
    <w:rsid w:val="4A6795BB"/>
    <w:rsid w:val="4AB59B00"/>
    <w:rsid w:val="4AB781A5"/>
    <w:rsid w:val="4AECC3BF"/>
    <w:rsid w:val="4B22B6B8"/>
    <w:rsid w:val="4B417BC8"/>
    <w:rsid w:val="4BD295B3"/>
    <w:rsid w:val="4C8F8CB2"/>
    <w:rsid w:val="4CE55177"/>
    <w:rsid w:val="4D98EA3C"/>
    <w:rsid w:val="4E04D3DC"/>
    <w:rsid w:val="4E0DE8AE"/>
    <w:rsid w:val="4E2D2630"/>
    <w:rsid w:val="4E770001"/>
    <w:rsid w:val="4EED730A"/>
    <w:rsid w:val="4F5D26F9"/>
    <w:rsid w:val="4FB831E6"/>
    <w:rsid w:val="4FC5010A"/>
    <w:rsid w:val="500BBFBC"/>
    <w:rsid w:val="504B69DD"/>
    <w:rsid w:val="5126D650"/>
    <w:rsid w:val="514E2425"/>
    <w:rsid w:val="51540247"/>
    <w:rsid w:val="518FB7E3"/>
    <w:rsid w:val="51A7901D"/>
    <w:rsid w:val="51E65E72"/>
    <w:rsid w:val="526C5B5F"/>
    <w:rsid w:val="5275615D"/>
    <w:rsid w:val="534E3FF7"/>
    <w:rsid w:val="53830A9F"/>
    <w:rsid w:val="53CF73F6"/>
    <w:rsid w:val="53E3EBEA"/>
    <w:rsid w:val="54DECCA8"/>
    <w:rsid w:val="54ED6FC5"/>
    <w:rsid w:val="55A19002"/>
    <w:rsid w:val="55C5DBA2"/>
    <w:rsid w:val="5652354F"/>
    <w:rsid w:val="565F60A2"/>
    <w:rsid w:val="56D196F4"/>
    <w:rsid w:val="56F0D555"/>
    <w:rsid w:val="574F1081"/>
    <w:rsid w:val="57502FE8"/>
    <w:rsid w:val="57A43F82"/>
    <w:rsid w:val="57AE2641"/>
    <w:rsid w:val="57C343CB"/>
    <w:rsid w:val="57CA7401"/>
    <w:rsid w:val="57D86677"/>
    <w:rsid w:val="583BB21B"/>
    <w:rsid w:val="5868137D"/>
    <w:rsid w:val="58AEEFCA"/>
    <w:rsid w:val="58D21C3F"/>
    <w:rsid w:val="58EA9DEC"/>
    <w:rsid w:val="58EAE0E2"/>
    <w:rsid w:val="58FC684B"/>
    <w:rsid w:val="590CB4AD"/>
    <w:rsid w:val="595F142C"/>
    <w:rsid w:val="5977C65D"/>
    <w:rsid w:val="59AC6C3A"/>
    <w:rsid w:val="59DAE463"/>
    <w:rsid w:val="5A904763"/>
    <w:rsid w:val="5AD7F088"/>
    <w:rsid w:val="5B6B7970"/>
    <w:rsid w:val="5B89A4C1"/>
    <w:rsid w:val="5D35CAA1"/>
    <w:rsid w:val="5D3D8DEF"/>
    <w:rsid w:val="5DB85D48"/>
    <w:rsid w:val="5DBE5205"/>
    <w:rsid w:val="5E32854F"/>
    <w:rsid w:val="5E4A77BF"/>
    <w:rsid w:val="5E89A89C"/>
    <w:rsid w:val="5EA85255"/>
    <w:rsid w:val="5F5B3062"/>
    <w:rsid w:val="5F67938F"/>
    <w:rsid w:val="5FCE55B0"/>
    <w:rsid w:val="605B34FF"/>
    <w:rsid w:val="60E31660"/>
    <w:rsid w:val="61114E6A"/>
    <w:rsid w:val="61273E89"/>
    <w:rsid w:val="6137D904"/>
    <w:rsid w:val="616A2611"/>
    <w:rsid w:val="617A1693"/>
    <w:rsid w:val="6182D842"/>
    <w:rsid w:val="61ED1F27"/>
    <w:rsid w:val="622FD03A"/>
    <w:rsid w:val="6269DC7C"/>
    <w:rsid w:val="62D53374"/>
    <w:rsid w:val="635704A4"/>
    <w:rsid w:val="63EF8C96"/>
    <w:rsid w:val="6405ACDD"/>
    <w:rsid w:val="641ED53A"/>
    <w:rsid w:val="643CAB27"/>
    <w:rsid w:val="649DC122"/>
    <w:rsid w:val="64E8BB8E"/>
    <w:rsid w:val="64F8EA20"/>
    <w:rsid w:val="65877087"/>
    <w:rsid w:val="65943E30"/>
    <w:rsid w:val="6597D042"/>
    <w:rsid w:val="65B46A13"/>
    <w:rsid w:val="65BA9B70"/>
    <w:rsid w:val="6660FE56"/>
    <w:rsid w:val="67034CBC"/>
    <w:rsid w:val="6715785F"/>
    <w:rsid w:val="673A455A"/>
    <w:rsid w:val="673D4D9F"/>
    <w:rsid w:val="673DD5C0"/>
    <w:rsid w:val="673F95AE"/>
    <w:rsid w:val="6748FBF4"/>
    <w:rsid w:val="67EE399E"/>
    <w:rsid w:val="6818E509"/>
    <w:rsid w:val="681D0957"/>
    <w:rsid w:val="68EED1D2"/>
    <w:rsid w:val="6983FF7F"/>
    <w:rsid w:val="69B4B56A"/>
    <w:rsid w:val="6B1E10D0"/>
    <w:rsid w:val="6BD809E9"/>
    <w:rsid w:val="6BEBA2ED"/>
    <w:rsid w:val="6C0124DD"/>
    <w:rsid w:val="6C01A1B7"/>
    <w:rsid w:val="6C1B0077"/>
    <w:rsid w:val="6C961664"/>
    <w:rsid w:val="6C98023B"/>
    <w:rsid w:val="6CD2DA36"/>
    <w:rsid w:val="6DB94DDC"/>
    <w:rsid w:val="6DC8BE9B"/>
    <w:rsid w:val="6E03C4EB"/>
    <w:rsid w:val="6E05AFB8"/>
    <w:rsid w:val="6E07A932"/>
    <w:rsid w:val="6E9FCC66"/>
    <w:rsid w:val="6EB97048"/>
    <w:rsid w:val="6ECEBA50"/>
    <w:rsid w:val="6F12627D"/>
    <w:rsid w:val="6FCBEA5B"/>
    <w:rsid w:val="6FFF2878"/>
    <w:rsid w:val="703A582F"/>
    <w:rsid w:val="70F5FA44"/>
    <w:rsid w:val="72078DBE"/>
    <w:rsid w:val="7247CCC9"/>
    <w:rsid w:val="729549EA"/>
    <w:rsid w:val="72EA1957"/>
    <w:rsid w:val="74E8DC3A"/>
    <w:rsid w:val="753F2E80"/>
    <w:rsid w:val="7577B94A"/>
    <w:rsid w:val="757EDADC"/>
    <w:rsid w:val="75928533"/>
    <w:rsid w:val="765054B7"/>
    <w:rsid w:val="7657A2D3"/>
    <w:rsid w:val="7700FFC1"/>
    <w:rsid w:val="779B4AAC"/>
    <w:rsid w:val="791014E9"/>
    <w:rsid w:val="79F81A9A"/>
    <w:rsid w:val="79FCDCBF"/>
    <w:rsid w:val="7A92FFB1"/>
    <w:rsid w:val="7C22ABDE"/>
    <w:rsid w:val="7C3C018B"/>
    <w:rsid w:val="7E715B0D"/>
    <w:rsid w:val="7F3112B6"/>
    <w:rsid w:val="7F5BEF5F"/>
    <w:rsid w:val="7F64A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D643"/>
  <w15:chartTrackingRefBased/>
  <w15:docId w15:val="{39BC8E4E-4F0D-4F3E-8982-337DEBA1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3326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5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D2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54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7540"/>
  </w:style>
  <w:style w:type="paragraph" w:styleId="Footer">
    <w:name w:val="footer"/>
    <w:basedOn w:val="Normal"/>
    <w:link w:val="FooterChar"/>
    <w:uiPriority w:val="99"/>
    <w:unhideWhenUsed/>
    <w:rsid w:val="002A754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7540"/>
  </w:style>
  <w:style w:type="paragraph" w:styleId="NoSpacing">
    <w:name w:val="No Spacing"/>
    <w:uiPriority w:val="1"/>
    <w:qFormat/>
    <w:rsid w:val="00843326"/>
    <w:pPr>
      <w:spacing w:after="0" w:line="240" w:lineRule="auto"/>
    </w:pPr>
  </w:style>
  <w:style w:type="table" w:styleId="GridTable4-Accent6">
    <w:name w:val="Grid Table 4 Accent 6"/>
    <w:basedOn w:val="TableNormal"/>
    <w:uiPriority w:val="49"/>
    <w:rsid w:val="00C12C1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2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C17"/>
    <w:rPr>
      <w:rFonts w:eastAsiaTheme="minorEastAsia"/>
      <w:sz w:val="20"/>
      <w:szCs w:val="20"/>
      <w:lang w:eastAsia="en-GB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12C17"/>
    <w:rPr>
      <w:rFonts w:eastAsiaTheme="minorEastAsia"/>
      <w:sz w:val="20"/>
      <w:szCs w:val="20"/>
      <w:lang w:eastAsia="en-GB"/>
    </w:rPr>
  </w:style>
  <w:style w:type="table" w:styleId="ListTable3-Accent6">
    <w:name w:val="List Table 3 Accent 6"/>
    <w:basedOn w:val="TableNormal"/>
    <w:uiPriority w:val="48"/>
    <w:rsid w:val="00EE5F0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F45DDE5FF2E45B84D296CF97ECFF6" ma:contentTypeVersion="17" ma:contentTypeDescription="Create a new document." ma:contentTypeScope="" ma:versionID="843026af1278f145fbad070c5d22f16f">
  <xsd:schema xmlns:xsd="http://www.w3.org/2001/XMLSchema" xmlns:xs="http://www.w3.org/2001/XMLSchema" xmlns:p="http://schemas.microsoft.com/office/2006/metadata/properties" xmlns:ns2="7ac0b3cc-0a3c-4cd3-9d92-f2fceffc6b13" xmlns:ns3="8aa40fb7-b9d3-4629-918f-7341ce6e40b2" targetNamespace="http://schemas.microsoft.com/office/2006/metadata/properties" ma:root="true" ma:fieldsID="af70a93e6780fcab7304c582063d45e4" ns2:_="" ns3:_="">
    <xsd:import namespace="7ac0b3cc-0a3c-4cd3-9d92-f2fceffc6b13"/>
    <xsd:import namespace="8aa40fb7-b9d3-4629-918f-7341ce6e4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0b3cc-0a3c-4cd3-9d92-f2fceffc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e2703d-e733-4401-aa4e-9975ed14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40fb7-b9d3-4629-918f-7341ce6e4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d3a124-6cbe-4a16-b534-e9f0431f5796}" ma:internalName="TaxCatchAll" ma:showField="CatchAllData" ma:web="8aa40fb7-b9d3-4629-918f-7341ce6e4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40fb7-b9d3-4629-918f-7341ce6e40b2" xsi:nil="true"/>
    <lcf76f155ced4ddcb4097134ff3c332f xmlns="7ac0b3cc-0a3c-4cd3-9d92-f2fceffc6b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B29560-75F7-4F0A-A2D8-D204FCCCA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0b3cc-0a3c-4cd3-9d92-f2fceffc6b13"/>
    <ds:schemaRef ds:uri="8aa40fb7-b9d3-4629-918f-7341ce6e4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023B2-7A75-454F-B681-E23C10A3B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59AF6-83EC-40A3-B4D2-1B76B53BCDD7}">
  <ds:schemaRefs>
    <ds:schemaRef ds:uri="http://schemas.microsoft.com/office/2006/documentManagement/types"/>
    <ds:schemaRef ds:uri="7ac0b3cc-0a3c-4cd3-9d92-f2fceffc6b1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aa40fb7-b9d3-4629-918f-7341ce6e40b2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Jonathon: WCC</dc:creator>
  <cp:keywords/>
  <dc:description/>
  <cp:lastModifiedBy>Jenny Woolcock</cp:lastModifiedBy>
  <cp:revision>20</cp:revision>
  <dcterms:created xsi:type="dcterms:W3CDTF">2023-10-05T15:49:00Z</dcterms:created>
  <dcterms:modified xsi:type="dcterms:W3CDTF">2023-11-29T16:14:53Z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0x010100F1BF45DDE5FF2E45B84D296CF97ECFF6</vt:lpwstr>
  </property>
  <property fmtid="{D5CDD505-2E9C-101B-9397-08002B2CF9AE}" pid="3" name="MediaServiceImageTags">
    <vt:lpwstr/>
  </property>
</Properties>
</file>